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ptos" w:hAnsi="Aptos"/>
          <w:b/>
          <w:color w:val="656F7E"/>
          <w:sz w:val="17"/>
        </w:rPr>
        <w:t>PLAIN LANGUAGE REFERENCE</w:t>
      </w:r>
    </w:p>
    <w:p>
      <w:pPr>
        <w:pStyle w:val="Title"/>
        <w:spacing w:after="80"/>
        <w:pBdr>
          <w:top w:val="nil"/>
          <w:left w:val="nil"/>
          <w:bottom w:val="nil"/>
          <w:right w:val="nil"/>
          <w:between w:val="nil"/>
          <w:bar w:val="nil"/>
        </w:pBdr>
      </w:pPr>
      <w:r>
        <w:rPr>
          <w:rFonts w:ascii="Georgia" w:hAnsi="Georgia"/>
          <w:b/>
          <w:color w:val="16233A"/>
          <w:sz w:val="50"/>
        </w:rPr>
        <w:t>Property Tax Downshifting</w:t>
      </w:r>
    </w:p>
    <w:p>
      <w:pPr>
        <w:spacing w:after="220"/>
      </w:pPr>
      <w:r>
        <w:rPr>
          <w:rFonts w:ascii="Georgia" w:hAnsi="Georgia"/>
          <w:color w:val="3E4B5E"/>
          <w:sz w:val="22"/>
        </w:rPr>
        <w:t>How state choices can change the costs carried by municipalities school districts and local taxpayers</w:t>
      </w:r>
    </w:p>
    <w:tbl>
      <w:tblPr>
        <w:tblW w:type="auto" w:w="0"/>
        <w:jc w:val="center"/>
        <w:tblLayout w:type="fixed"/>
        <w:tblLook w:firstColumn="1" w:firstRow="1" w:lastColumn="0" w:lastRow="0" w:noHBand="0" w:noVBand="1" w:val="04A0"/>
      </w:tblPr>
      <w:tblGrid>
        <w:gridCol w:w="3523"/>
        <w:gridCol w:w="3523"/>
        <w:gridCol w:w="3523"/>
      </w:tblGrid>
      <w:tr>
        <w:tc>
          <w:tcPr>
            <w:tcW w:type="dxa" w:w="3528"/>
            <w:vAlign w:val="center"/>
            <w:shd w:fill="EAF1F6"/>
            <w:tcBorders>
              <w:top w:val="single" w:sz="5" w:color="D7DDE3"/>
              <w:left w:val="single" w:sz="5" w:color="D7DDE3"/>
              <w:bottom w:val="single" w:sz="5" w:color="D7DDE3"/>
              <w:right w:val="single" w:sz="5" w:color="D7DDE3"/>
            </w:tcBorders>
            <w:tcMar>
              <w:top w:w="125" w:type="dxa"/>
              <w:start w:w="110" w:type="dxa"/>
              <w:bottom w:w="115" w:type="dxa"/>
              <w:end w:w="110" w:type="dxa"/>
            </w:tcMar>
          </w:tcPr>
          <w:p>
            <w:pPr>
              <w:spacing w:after="60"/>
              <w:jc w:val="center"/>
            </w:pPr>
            <w:r>
              <w:rPr>
                <w:rFonts w:ascii="Aptos" w:hAnsi="Aptos"/>
                <w:b/>
                <w:color w:val="16233A"/>
                <w:sz w:val="30"/>
              </w:rPr>
              <w:t>Not a ledger line</w:t>
            </w:r>
          </w:p>
          <w:p>
            <w:pPr>
              <w:spacing w:after="0"/>
              <w:jc w:val="center"/>
            </w:pPr>
            <w:r>
              <w:rPr>
                <w:rFonts w:ascii="Aptos" w:hAnsi="Aptos"/>
                <w:b w:val="0"/>
                <w:color w:val="3E4B5E"/>
                <w:sz w:val="17"/>
              </w:rPr>
              <w:t>Downshifting is an analytical term rather than an official state accounting category</w:t>
            </w:r>
          </w:p>
        </w:tc>
        <w:tc>
          <w:tcPr>
            <w:tcW w:type="dxa" w:w="3528"/>
            <w:vAlign w:val="center"/>
            <w:shd w:fill="EAF1F6"/>
            <w:tcBorders>
              <w:top w:val="single" w:sz="5" w:color="D7DDE3"/>
              <w:left w:val="single" w:sz="5" w:color="D7DDE3"/>
              <w:bottom w:val="single" w:sz="5" w:color="D7DDE3"/>
              <w:right w:val="single" w:sz="5" w:color="D7DDE3"/>
            </w:tcBorders>
            <w:tcMar>
              <w:top w:w="125" w:type="dxa"/>
              <w:start w:w="110" w:type="dxa"/>
              <w:bottom w:w="115" w:type="dxa"/>
              <w:end w:w="110" w:type="dxa"/>
            </w:tcMar>
          </w:tcPr>
          <w:p>
            <w:pPr>
              <w:spacing w:after="60"/>
              <w:jc w:val="center"/>
            </w:pPr>
            <w:r>
              <w:rPr>
                <w:rFonts w:ascii="Aptos" w:hAnsi="Aptos"/>
                <w:b/>
                <w:color w:val="16233A"/>
                <w:sz w:val="30"/>
              </w:rPr>
              <w:t>About 72%</w:t>
            </w:r>
          </w:p>
          <w:p>
            <w:pPr>
              <w:spacing w:after="0"/>
              <w:jc w:val="center"/>
            </w:pPr>
            <w:r>
              <w:rPr>
                <w:rFonts w:ascii="Aptos" w:hAnsi="Aptos"/>
                <w:b w:val="0"/>
                <w:color w:val="3E4B5E"/>
                <w:sz w:val="17"/>
              </w:rPr>
              <w:t>Approximate school revenue tied to the local property tax base including SWEPT in 2024 to 2025</w:t>
            </w:r>
          </w:p>
        </w:tc>
        <w:tc>
          <w:tcPr>
            <w:tcW w:type="dxa" w:w="3528"/>
            <w:vAlign w:val="center"/>
            <w:shd w:fill="EAF1F6"/>
            <w:tcBorders>
              <w:top w:val="single" w:sz="5" w:color="D7DDE3"/>
              <w:left w:val="single" w:sz="5" w:color="D7DDE3"/>
              <w:bottom w:val="single" w:sz="5" w:color="D7DDE3"/>
              <w:right w:val="single" w:sz="5" w:color="D7DDE3"/>
            </w:tcBorders>
            <w:tcMar>
              <w:top w:w="125" w:type="dxa"/>
              <w:start w:w="110" w:type="dxa"/>
              <w:bottom w:w="115" w:type="dxa"/>
              <w:end w:w="110" w:type="dxa"/>
            </w:tcMar>
          </w:tcPr>
          <w:p>
            <w:pPr>
              <w:spacing w:after="60"/>
              <w:jc w:val="center"/>
            </w:pPr>
            <w:r>
              <w:rPr>
                <w:rFonts w:ascii="Aptos" w:hAnsi="Aptos"/>
                <w:b/>
                <w:color w:val="16233A"/>
                <w:sz w:val="30"/>
              </w:rPr>
              <w:t>Multiple causes</w:t>
            </w:r>
          </w:p>
          <w:p>
            <w:pPr>
              <w:spacing w:after="0"/>
              <w:jc w:val="center"/>
            </w:pPr>
            <w:r>
              <w:rPr>
                <w:rFonts w:ascii="Aptos" w:hAnsi="Aptos"/>
                <w:b w:val="0"/>
                <w:color w:val="3E4B5E"/>
                <w:sz w:val="17"/>
              </w:rPr>
              <w:t>A local tax bill reflects budgets aid valuation tax base and state policy</w:t>
            </w:r>
          </w:p>
        </w:tc>
      </w:tr>
    </w:tbl>
    <w:p>
      <w:pPr>
        <w:pStyle w:val="Heading1"/>
        <w:spacing w:before="140" w:after="80"/>
        <w:keepNext/>
      </w:pPr>
      <w:r>
        <w:rPr>
          <w:rFonts w:ascii="Georgia" w:hAnsi="Georgia"/>
          <w:b/>
          <w:color w:val="16233A"/>
          <w:sz w:val="32"/>
        </w:rPr>
        <w:t>A practical definition</w:t>
      </w:r>
    </w:p>
    <w:p>
      <w:pPr>
        <w:spacing w:after="120" w:line="259" w:lineRule="auto"/>
      </w:pPr>
      <w:r>
        <w:rPr>
          <w:rFonts w:ascii="Aptos" w:hAnsi="Aptos"/>
          <w:b w:val="0"/>
          <w:color w:val="16233A"/>
          <w:sz w:val="20"/>
        </w:rPr>
        <w:t>A downshift occurs when a state decision leaves a municipality, school district, or local taxpayer to replace funding, absorb a cost, cut a service, or defer work. The label should be tied to a specific policy and a traceable local consequence. It does not mean every state tax cut automatically raises local taxes or that every local increase was caused by Concord.</w:t>
      </w:r>
    </w:p>
    <w:p>
      <w:pPr>
        <w:pStyle w:val="Heading2"/>
        <w:spacing w:before="100" w:after="80"/>
        <w:keepNext/>
      </w:pPr>
      <w:r>
        <w:rPr>
          <w:rFonts w:ascii="Georgia" w:hAnsi="Georgia"/>
          <w:b/>
          <w:color w:val="16233A"/>
          <w:sz w:val="25"/>
        </w:rPr>
        <w:t>Common pathways</w:t>
      </w:r>
    </w:p>
    <w:p>
      <w:pPr>
        <w:pStyle w:val="ListBullet"/>
        <w:spacing w:after="80" w:line="252" w:lineRule="auto"/>
        <w:ind w:left="346" w:hanging="230"/>
      </w:pPr>
      <w:r>
        <w:rPr>
          <w:rFonts w:ascii="Aptos" w:hAnsi="Aptos"/>
          <w:b w:val="0"/>
          <w:color w:val="16233A"/>
          <w:sz w:val="20"/>
        </w:rPr>
        <w:t>The state reduces or fails to renew aid for a continuing local obligation.</w:t>
      </w:r>
    </w:p>
    <w:p>
      <w:pPr>
        <w:pStyle w:val="ListBullet"/>
        <w:spacing w:after="80" w:line="252" w:lineRule="auto"/>
        <w:ind w:left="346" w:hanging="230"/>
      </w:pPr>
      <w:r>
        <w:rPr>
          <w:rFonts w:ascii="Aptos" w:hAnsi="Aptos"/>
          <w:b w:val="0"/>
          <w:color w:val="16233A"/>
          <w:sz w:val="20"/>
        </w:rPr>
        <w:t>The state changes a mandate or standard without covering the resulting local cost.</w:t>
      </w:r>
    </w:p>
    <w:p>
      <w:pPr>
        <w:pStyle w:val="ListBullet"/>
        <w:spacing w:after="80" w:line="252" w:lineRule="auto"/>
        <w:ind w:left="346" w:hanging="230"/>
      </w:pPr>
      <w:r>
        <w:rPr>
          <w:rFonts w:ascii="Aptos" w:hAnsi="Aptos"/>
          <w:b w:val="0"/>
          <w:color w:val="16233A"/>
          <w:sz w:val="20"/>
        </w:rPr>
        <w:t>The state limits local revenue growth while labor contracts, special education, utilities, debt, or other underlying costs continue to rise.</w:t>
      </w:r>
    </w:p>
    <w:p>
      <w:pPr>
        <w:pStyle w:val="ListBullet"/>
        <w:spacing w:after="80" w:line="252" w:lineRule="auto"/>
        <w:ind w:left="346" w:hanging="230"/>
      </w:pPr>
      <w:r>
        <w:rPr>
          <w:rFonts w:ascii="Aptos" w:hAnsi="Aptos"/>
          <w:b w:val="0"/>
          <w:color w:val="16233A"/>
          <w:sz w:val="20"/>
        </w:rPr>
        <w:t>The state changes a tax or revenue-sharing policy and the local government changes taxes, services, reserves, or capital plans in response.</w:t>
      </w:r>
    </w:p>
    <w:p>
      <w:pPr>
        <w:pStyle w:val="Heading2"/>
        <w:spacing w:before="100" w:after="80"/>
        <w:keepNext/>
      </w:pPr>
      <w:r>
        <w:rPr>
          <w:rFonts w:ascii="Georgia" w:hAnsi="Georgia"/>
          <w:b/>
          <w:color w:val="16233A"/>
          <w:sz w:val="25"/>
        </w:rPr>
        <w:t>What does not prove a downshift</w:t>
      </w:r>
    </w:p>
    <w:p>
      <w:pPr>
        <w:pStyle w:val="ListBullet"/>
        <w:spacing w:after="80" w:line="252" w:lineRule="auto"/>
        <w:ind w:left="346" w:hanging="230"/>
      </w:pPr>
      <w:r>
        <w:rPr>
          <w:rFonts w:ascii="Aptos" w:hAnsi="Aptos"/>
          <w:b w:val="0"/>
          <w:color w:val="16233A"/>
          <w:sz w:val="20"/>
        </w:rPr>
        <w:t>A higher property-tax bill by itself does not identify the cause.</w:t>
      </w:r>
    </w:p>
    <w:p>
      <w:pPr>
        <w:pStyle w:val="ListBullet"/>
        <w:spacing w:after="80" w:line="252" w:lineRule="auto"/>
        <w:ind w:left="346" w:hanging="230"/>
      </w:pPr>
      <w:r>
        <w:rPr>
          <w:rFonts w:ascii="Aptos" w:hAnsi="Aptos"/>
          <w:b w:val="0"/>
          <w:color w:val="16233A"/>
          <w:sz w:val="20"/>
        </w:rPr>
        <w:t>A state tax cut by itself does not establish that an equivalent cost moved to municipalities.</w:t>
      </w:r>
    </w:p>
    <w:p>
      <w:pPr>
        <w:pStyle w:val="ListBullet"/>
        <w:spacing w:after="80" w:line="252" w:lineRule="auto"/>
        <w:ind w:left="346" w:hanging="230"/>
      </w:pPr>
      <w:r>
        <w:rPr>
          <w:rFonts w:ascii="Aptos" w:hAnsi="Aptos"/>
          <w:b w:val="0"/>
          <w:color w:val="16233A"/>
          <w:sz w:val="20"/>
        </w:rPr>
        <w:t>A statewide aid increase does not show what happened in every community or program.</w:t>
      </w:r>
    </w:p>
    <w:p>
      <w:pPr>
        <w:pStyle w:val="Heading2"/>
        <w:spacing w:before="100" w:after="80"/>
        <w:keepNext/>
      </w:pPr>
      <w:r>
        <w:rPr>
          <w:rFonts w:ascii="Georgia" w:hAnsi="Georgia"/>
          <w:b/>
          <w:color w:val="16233A"/>
          <w:sz w:val="25"/>
        </w:rPr>
        <w:t>The evidence chain</w:t>
      </w:r>
    </w:p>
    <w:p>
      <w:pPr>
        <w:pStyle w:val="ListBullet"/>
        <w:spacing w:after="80" w:line="252" w:lineRule="auto"/>
        <w:ind w:left="346" w:hanging="230"/>
      </w:pPr>
      <w:r>
        <w:rPr>
          <w:rFonts w:ascii="Aptos" w:hAnsi="Aptos"/>
          <w:b w:val="0"/>
          <w:color w:val="16233A"/>
          <w:sz w:val="20"/>
        </w:rPr>
        <w:t>Identify the state action, the amount and timing, the local obligation, the local response, and who ultimately bears the cost.</w:t>
      </w:r>
    </w:p>
    <w:p>
      <w:r>
        <w:br w:type="page"/>
      </w:r>
    </w:p>
    <w:p>
      <w:pPr>
        <w:spacing w:after="60"/>
      </w:pPr>
      <w:r>
        <w:rPr>
          <w:rFonts w:ascii="Aptos" w:hAnsi="Aptos"/>
          <w:b/>
          <w:color w:val="656F7E"/>
          <w:sz w:val="17"/>
        </w:rPr>
        <w:t>PAGE 2</w:t>
      </w:r>
    </w:p>
    <w:p>
      <w:pPr>
        <w:pStyle w:val="Title"/>
        <w:spacing w:after="80"/>
        <w:pBdr>
          <w:top w:val="nil"/>
          <w:left w:val="nil"/>
          <w:bottom w:val="nil"/>
          <w:right w:val="nil"/>
          <w:between w:val="nil"/>
          <w:bar w:val="nil"/>
        </w:pBdr>
      </w:pPr>
      <w:r>
        <w:rPr>
          <w:rFonts w:ascii="Georgia" w:hAnsi="Georgia"/>
          <w:b/>
          <w:color w:val="16233A"/>
          <w:sz w:val="50"/>
        </w:rPr>
        <w:t>Claims and the complete picture</w:t>
      </w:r>
    </w:p>
    <w:p>
      <w:pPr>
        <w:spacing w:after="220"/>
      </w:pPr>
      <w:r>
        <w:rPr>
          <w:rFonts w:ascii="Georgia" w:hAnsi="Georgia"/>
          <w:color w:val="3E4B5E"/>
          <w:sz w:val="22"/>
        </w:rPr>
        <w:t>Follow the policy from the state budget to the local budget before assigning credit or blame</w:t>
      </w: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Property taxes are entirely local</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Municipalities set local budgets and rates within state law, and voters or elected officials make consequential choices.</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State aid formulas, revenue sharing, mandates, pension policy, and statutory tax rules shape the amount that must be raised locally.</w:t>
            </w:r>
          </w:p>
          <w:p>
            <w:pPr>
              <w:spacing w:after="0"/>
            </w:pPr>
            <w:r>
              <w:rPr>
                <w:rFonts w:ascii="Aptos" w:hAnsi="Aptos"/>
                <w:b/>
                <w:color w:val="16233A"/>
                <w:sz w:val="19"/>
              </w:rPr>
              <w:t xml:space="preserve">Ask  </w:t>
            </w:r>
            <w:r>
              <w:rPr>
                <w:rFonts w:ascii="Aptos" w:hAnsi="Aptos"/>
                <w:b w:val="0"/>
                <w:color w:val="3E4B5E"/>
                <w:sz w:val="19"/>
              </w:rPr>
              <w:t>Which part of this bill comes from school municipal county and statewide education taxes</w:t>
            </w:r>
          </w:p>
        </w:tc>
      </w:tr>
    </w:tbl>
    <w:p>
      <w:pPr>
        <w:spacing w:after="0"/>
      </w:pP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A state tax cut is taxpayer savings</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The person or business paying the reduced state tax receives a direct benefit.</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The net effect depends on whether services or aid are also reduced and how local governments respond. There may be savings, a transfer, a service reduction, or a mix.</w:t>
            </w:r>
          </w:p>
          <w:p>
            <w:pPr>
              <w:spacing w:after="0"/>
            </w:pPr>
            <w:r>
              <w:rPr>
                <w:rFonts w:ascii="Aptos" w:hAnsi="Aptos"/>
                <w:b/>
                <w:color w:val="16233A"/>
                <w:sz w:val="19"/>
              </w:rPr>
              <w:t xml:space="preserve">Ask  </w:t>
            </w:r>
            <w:r>
              <w:rPr>
                <w:rFonts w:ascii="Aptos" w:hAnsi="Aptos"/>
                <w:b w:val="0"/>
                <w:color w:val="3E4B5E"/>
                <w:sz w:val="19"/>
              </w:rPr>
              <w:t>What spending or revenue changed with the tax cut and who absorbed the difference</w:t>
            </w:r>
          </w:p>
        </w:tc>
      </w:tr>
    </w:tbl>
    <w:p>
      <w:pPr>
        <w:spacing w:after="0"/>
      </w:pP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State aid increased so there was no downshift</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Total state aid can rise from one budget to the next.</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Statewide totals can hide cuts to particular programs or communities. In school funding, 145 municipalities received less State Adequacy Aid in FY2026 while the statewide total increased.</w:t>
            </w:r>
          </w:p>
          <w:p>
            <w:pPr>
              <w:spacing w:after="0"/>
            </w:pPr>
            <w:r>
              <w:rPr>
                <w:rFonts w:ascii="Aptos" w:hAnsi="Aptos"/>
                <w:b/>
                <w:color w:val="16233A"/>
                <w:sz w:val="19"/>
              </w:rPr>
              <w:t xml:space="preserve">Ask  </w:t>
            </w:r>
            <w:r>
              <w:rPr>
                <w:rFonts w:ascii="Aptos" w:hAnsi="Aptos"/>
                <w:b w:val="0"/>
                <w:color w:val="3E4B5E"/>
                <w:sz w:val="19"/>
              </w:rPr>
              <w:t>What happened to the specific aid line and the specific municipality</w:t>
            </w:r>
          </w:p>
        </w:tc>
      </w:tr>
    </w:tbl>
    <w:p>
      <w:pPr>
        <w:spacing w:after="0"/>
      </w:pPr>
    </w:p>
    <w:p>
      <w:r>
        <w:br w:type="page"/>
      </w:r>
    </w:p>
    <w:p>
      <w:pPr>
        <w:spacing w:after="60"/>
      </w:pPr>
      <w:r>
        <w:rPr>
          <w:rFonts w:ascii="Aptos" w:hAnsi="Aptos"/>
          <w:b/>
          <w:color w:val="656F7E"/>
          <w:sz w:val="17"/>
        </w:rPr>
        <w:t>PAGE 3</w:t>
      </w:r>
    </w:p>
    <w:p>
      <w:pPr>
        <w:pStyle w:val="Title"/>
        <w:spacing w:after="80"/>
        <w:pBdr>
          <w:top w:val="nil"/>
          <w:left w:val="nil"/>
          <w:bottom w:val="nil"/>
          <w:right w:val="nil"/>
          <w:between w:val="nil"/>
          <w:bar w:val="nil"/>
        </w:pBdr>
      </w:pPr>
      <w:r>
        <w:rPr>
          <w:rFonts w:ascii="Georgia" w:hAnsi="Georgia"/>
          <w:b/>
          <w:color w:val="16233A"/>
          <w:sz w:val="50"/>
        </w:rPr>
        <w:t>Claims and the complete picture</w:t>
      </w:r>
    </w:p>
    <w:p>
      <w:pPr>
        <w:spacing w:after="220"/>
      </w:pPr>
      <w:r>
        <w:rPr>
          <w:rFonts w:ascii="Georgia" w:hAnsi="Georgia"/>
          <w:color w:val="3E4B5E"/>
          <w:sz w:val="22"/>
        </w:rPr>
        <w:t>Follow the policy from the state budget to the local budget before assigning credit or blame</w:t>
      </w: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A tax cap lowers costs</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A cap can press officials to prioritize, negotiate, consolidate, or find efficiencies.</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A cap limits revenue growth, not the price of special education, insurance, utilities, contracts, debt, or emergencies. If unavoidable costs grow faster, the remaining choices include an override, cuts, reserves, or deferred work.</w:t>
            </w:r>
          </w:p>
          <w:p>
            <w:pPr>
              <w:spacing w:after="0"/>
            </w:pPr>
            <w:r>
              <w:rPr>
                <w:rFonts w:ascii="Aptos" w:hAnsi="Aptos"/>
                <w:b/>
                <w:color w:val="16233A"/>
                <w:sz w:val="19"/>
              </w:rPr>
              <w:t xml:space="preserve">Ask  </w:t>
            </w:r>
            <w:r>
              <w:rPr>
                <w:rFonts w:ascii="Aptos" w:hAnsi="Aptos"/>
                <w:b w:val="0"/>
                <w:color w:val="3E4B5E"/>
                <w:sz w:val="19"/>
              </w:rPr>
              <w:t>Which costs can actually be reduced and what happens if voters reject an override</w:t>
            </w:r>
          </w:p>
        </w:tc>
      </w:tr>
    </w:tbl>
    <w:p>
      <w:pPr>
        <w:spacing w:after="0"/>
      </w:pP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The state never paid the bill so it cannot be a downshift</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A reduction from a longstanding state payment is the clearest accounting example.</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Policy can shift responsibility without cutting an identical check. New mandates, changed contribution rates, or a shrinking state share of a continuing obligation can increase local exposure.</w:t>
            </w:r>
          </w:p>
          <w:p>
            <w:pPr>
              <w:spacing w:after="0"/>
            </w:pPr>
            <w:r>
              <w:rPr>
                <w:rFonts w:ascii="Aptos" w:hAnsi="Aptos"/>
                <w:b/>
                <w:color w:val="16233A"/>
                <w:sz w:val="19"/>
              </w:rPr>
              <w:t xml:space="preserve">Ask  </w:t>
            </w:r>
            <w:r>
              <w:rPr>
                <w:rFonts w:ascii="Aptos" w:hAnsi="Aptos"/>
                <w:b w:val="0"/>
                <w:color w:val="3E4B5E"/>
                <w:sz w:val="19"/>
              </w:rPr>
              <w:t>Did state policy change the local obligation or the share carried locally</w:t>
            </w:r>
          </w:p>
        </w:tc>
      </w:tr>
    </w:tbl>
    <w:p>
      <w:pPr>
        <w:spacing w:after="0"/>
      </w:pP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Every property tax increase comes from Concord</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State decisions can create local pressure, especially where property taxes finance most school costs.</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Local budgets, payroll, debt, assessments, new construction, county charges, reserves, and voter choices also matter. A credible claim separates these components.</w:t>
            </w:r>
          </w:p>
          <w:p>
            <w:pPr>
              <w:spacing w:after="0"/>
            </w:pPr>
            <w:r>
              <w:rPr>
                <w:rFonts w:ascii="Aptos" w:hAnsi="Aptos"/>
                <w:b/>
                <w:color w:val="16233A"/>
                <w:sz w:val="19"/>
              </w:rPr>
              <w:t xml:space="preserve">Ask  </w:t>
            </w:r>
            <w:r>
              <w:rPr>
                <w:rFonts w:ascii="Aptos" w:hAnsi="Aptos"/>
                <w:b w:val="0"/>
                <w:color w:val="3E4B5E"/>
                <w:sz w:val="19"/>
              </w:rPr>
              <w:t>Can the speaker quantify the state caused portion of the local change</w:t>
            </w:r>
          </w:p>
        </w:tc>
      </w:tr>
    </w:tbl>
    <w:p>
      <w:pPr>
        <w:spacing w:after="0"/>
      </w:pPr>
    </w:p>
    <w:p>
      <w:r>
        <w:br w:type="page"/>
      </w:r>
    </w:p>
    <w:p>
      <w:pPr>
        <w:spacing w:after="60"/>
      </w:pPr>
      <w:r>
        <w:rPr>
          <w:rFonts w:ascii="Aptos" w:hAnsi="Aptos"/>
          <w:b/>
          <w:color w:val="656F7E"/>
          <w:sz w:val="17"/>
        </w:rPr>
        <w:t>USE THE NUMBERS CAREFULLY</w:t>
      </w:r>
    </w:p>
    <w:p>
      <w:pPr>
        <w:pStyle w:val="Title"/>
        <w:spacing w:after="80"/>
        <w:pBdr>
          <w:top w:val="nil"/>
          <w:left w:val="nil"/>
          <w:bottom w:val="nil"/>
          <w:right w:val="nil"/>
          <w:between w:val="nil"/>
          <w:bar w:val="nil"/>
        </w:pBdr>
      </w:pPr>
      <w:r>
        <w:rPr>
          <w:rFonts w:ascii="Georgia" w:hAnsi="Georgia"/>
          <w:b/>
          <w:color w:val="16233A"/>
          <w:sz w:val="50"/>
        </w:rPr>
        <w:t>Trace the local consequence</w:t>
      </w:r>
    </w:p>
    <w:p>
      <w:pPr>
        <w:spacing w:after="220"/>
      </w:pPr>
      <w:r>
        <w:rPr>
          <w:rFonts w:ascii="Georgia" w:hAnsi="Georgia"/>
          <w:color w:val="3E4B5E"/>
          <w:sz w:val="22"/>
        </w:rPr>
        <w:t>A claim is strongest when every link from policy to taxpayer is visible</w:t>
      </w:r>
    </w:p>
    <w:p>
      <w:pPr>
        <w:pStyle w:val="Heading1"/>
        <w:spacing w:before="140" w:after="80"/>
        <w:keepNext/>
      </w:pPr>
      <w:r>
        <w:rPr>
          <w:rFonts w:ascii="Georgia" w:hAnsi="Georgia"/>
          <w:b/>
          <w:color w:val="16233A"/>
          <w:sz w:val="32"/>
        </w:rPr>
        <w:t>Downshift test</w:t>
      </w:r>
    </w:p>
    <w:tbl>
      <w:tblPr>
        <w:tblW w:type="auto" w:w="0"/>
        <w:jc w:val="center"/>
        <w:tblLayout w:type="fixed"/>
        <w:tblLook w:firstColumn="1" w:firstRow="1" w:lastColumn="0" w:lastRow="0" w:noHBand="0" w:noVBand="1" w:val="04A0"/>
      </w:tblPr>
      <w:tblGrid>
        <w:gridCol w:w="3523"/>
        <w:gridCol w:w="3523"/>
        <w:gridCol w:w="3523"/>
      </w:tblGrid>
      <w:tr>
        <w:trPr>
          <w:tblHeader w:val="true"/>
        </w:trPr>
        <w:tc>
          <w:tcPr>
            <w:tcW w:type="dxa" w:w="1800"/>
            <w:shd w:fill="1B2C4B"/>
            <w:tcBorders>
              <w:top w:val="single" w:sz="5" w:color="1B2C4B"/>
              <w:left w:val="single" w:sz="5" w:color="1B2C4B"/>
              <w:bottom w:val="single" w:sz="5" w:color="1B2C4B"/>
              <w:right w:val="single" w:sz="5" w:color="1B2C4B"/>
            </w:tcBorders>
            <w:tcMar>
              <w:top w:w="95" w:type="dxa"/>
              <w:start w:w="115" w:type="dxa"/>
              <w:bottom w:w="95" w:type="dxa"/>
              <w:end w:w="115" w:type="dxa"/>
            </w:tcMar>
          </w:tcPr>
          <w:p>
            <w:pPr>
              <w:spacing w:after="0"/>
            </w:pPr>
            <w:r>
              <w:rPr>
                <w:rFonts w:ascii="Aptos" w:hAnsi="Aptos"/>
                <w:b/>
                <w:color w:val="FFFFFF"/>
                <w:sz w:val="18"/>
              </w:rPr>
              <w:t>Step</w:t>
            </w:r>
          </w:p>
        </w:tc>
        <w:tc>
          <w:tcPr>
            <w:tcW w:type="dxa" w:w="4464"/>
            <w:shd w:fill="1B2C4B"/>
            <w:tcBorders>
              <w:top w:val="single" w:sz="5" w:color="1B2C4B"/>
              <w:left w:val="single" w:sz="5" w:color="1B2C4B"/>
              <w:bottom w:val="single" w:sz="5" w:color="1B2C4B"/>
              <w:right w:val="single" w:sz="5" w:color="1B2C4B"/>
            </w:tcBorders>
            <w:tcMar>
              <w:top w:w="95" w:type="dxa"/>
              <w:start w:w="115" w:type="dxa"/>
              <w:bottom w:w="95" w:type="dxa"/>
              <w:end w:w="115" w:type="dxa"/>
            </w:tcMar>
          </w:tcPr>
          <w:p>
            <w:pPr>
              <w:spacing w:after="0"/>
            </w:pPr>
            <w:r>
              <w:rPr>
                <w:rFonts w:ascii="Aptos" w:hAnsi="Aptos"/>
                <w:b/>
                <w:color w:val="FFFFFF"/>
                <w:sz w:val="18"/>
              </w:rPr>
              <w:t>Evidence to find</w:t>
            </w:r>
          </w:p>
        </w:tc>
        <w:tc>
          <w:tcPr>
            <w:tcW w:type="dxa" w:w="4320"/>
            <w:shd w:fill="1B2C4B"/>
            <w:tcBorders>
              <w:top w:val="single" w:sz="5" w:color="1B2C4B"/>
              <w:left w:val="single" w:sz="5" w:color="1B2C4B"/>
              <w:bottom w:val="single" w:sz="5" w:color="1B2C4B"/>
              <w:right w:val="single" w:sz="5" w:color="1B2C4B"/>
            </w:tcBorders>
            <w:tcMar>
              <w:top w:w="95" w:type="dxa"/>
              <w:start w:w="115" w:type="dxa"/>
              <w:bottom w:w="95" w:type="dxa"/>
              <w:end w:w="115" w:type="dxa"/>
            </w:tcMar>
          </w:tcPr>
          <w:p>
            <w:pPr>
              <w:spacing w:after="0"/>
            </w:pPr>
            <w:r>
              <w:rPr>
                <w:rFonts w:ascii="Aptos" w:hAnsi="Aptos"/>
                <w:b/>
                <w:color w:val="FFFFFF"/>
                <w:sz w:val="18"/>
              </w:rPr>
              <w:t>Question</w:t>
            </w:r>
          </w:p>
        </w:tc>
      </w:tr>
      <w:tr>
        <w:tc>
          <w:tcPr>
            <w:tcW w:type="dxa" w:w="1800"/>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State action</w:t>
            </w:r>
          </w:p>
        </w:tc>
        <w:tc>
          <w:tcPr>
            <w:tcW w:type="dxa" w:w="4464"/>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Budget line law formula or mandate</w:t>
            </w:r>
          </w:p>
        </w:tc>
        <w:tc>
          <w:tcPr>
            <w:tcW w:type="dxa" w:w="4320"/>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What changed and when</w:t>
            </w:r>
          </w:p>
        </w:tc>
      </w:tr>
      <w:tr>
        <w:tc>
          <w:tcPr>
            <w:tcW w:type="dxa" w:w="1800"/>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Local duty</w:t>
            </w:r>
          </w:p>
        </w:tc>
        <w:tc>
          <w:tcPr>
            <w:tcW w:type="dxa" w:w="4464"/>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Service standard contract or required match</w:t>
            </w:r>
          </w:p>
        </w:tc>
        <w:tc>
          <w:tcPr>
            <w:tcW w:type="dxa" w:w="4320"/>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Could the locality avoid the cost</w:t>
            </w:r>
          </w:p>
        </w:tc>
      </w:tr>
      <w:tr>
        <w:tc>
          <w:tcPr>
            <w:tcW w:type="dxa" w:w="1800"/>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Fiscal gap</w:t>
            </w:r>
          </w:p>
        </w:tc>
        <w:tc>
          <w:tcPr>
            <w:tcW w:type="dxa" w:w="4464"/>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Dollar change compared with prior policy</w:t>
            </w:r>
          </w:p>
        </w:tc>
        <w:tc>
          <w:tcPr>
            <w:tcW w:type="dxa" w:w="4320"/>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How much remained unfunded</w:t>
            </w:r>
          </w:p>
        </w:tc>
      </w:tr>
      <w:tr>
        <w:tc>
          <w:tcPr>
            <w:tcW w:type="dxa" w:w="1800"/>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Local response</w:t>
            </w:r>
          </w:p>
        </w:tc>
        <w:tc>
          <w:tcPr>
            <w:tcW w:type="dxa" w:w="4464"/>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Tax rate budget service reserve or deferral</w:t>
            </w:r>
          </w:p>
        </w:tc>
        <w:tc>
          <w:tcPr>
            <w:tcW w:type="dxa" w:w="4320"/>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What did local officials do</w:t>
            </w:r>
          </w:p>
        </w:tc>
      </w:tr>
      <w:tr>
        <w:tc>
          <w:tcPr>
            <w:tcW w:type="dxa" w:w="1800"/>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Incidence</w:t>
            </w:r>
          </w:p>
        </w:tc>
        <w:tc>
          <w:tcPr>
            <w:tcW w:type="dxa" w:w="4464"/>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Households businesses service users or workers</w:t>
            </w:r>
          </w:p>
        </w:tc>
        <w:tc>
          <w:tcPr>
            <w:tcW w:type="dxa" w:w="4320"/>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Who paid or lost value</w:t>
            </w:r>
          </w:p>
        </w:tc>
      </w:tr>
    </w:tbl>
    <w:p>
      <w:pPr>
        <w:pStyle w:val="Heading2"/>
        <w:spacing w:before="100" w:after="80"/>
        <w:keepNext/>
      </w:pPr>
      <w:r>
        <w:rPr>
          <w:rFonts w:ascii="Georgia" w:hAnsi="Georgia"/>
          <w:b/>
          <w:color w:val="16233A"/>
          <w:sz w:val="25"/>
        </w:rPr>
        <w:t>Examples to examine</w:t>
      </w:r>
    </w:p>
    <w:p>
      <w:pPr>
        <w:spacing w:after="80" w:line="259" w:lineRule="auto"/>
      </w:pPr>
      <w:r>
        <w:rPr>
          <w:rFonts w:ascii="Aptos" w:hAnsi="Aptos"/>
          <w:b w:val="0"/>
          <w:color w:val="16233A"/>
          <w:sz w:val="19"/>
        </w:rPr>
        <w:t>School funding is the clearest structural case because local property taxes carry most school revenue and communities have unequal tax capacity.</w:t>
      </w:r>
    </w:p>
    <w:p>
      <w:pPr>
        <w:spacing w:after="80" w:line="259" w:lineRule="auto"/>
      </w:pPr>
      <w:r>
        <w:rPr>
          <w:rFonts w:ascii="Aptos" w:hAnsi="Aptos"/>
          <w:b w:val="0"/>
          <w:color w:val="16233A"/>
          <w:sz w:val="19"/>
        </w:rPr>
        <w:t>Pension contributions show the reverse direction. A proposed state contribution can shift part of an existing employer cost from municipalities to the state, but only if enacted and funded.</w:t>
      </w:r>
    </w:p>
    <w:p>
      <w:pPr>
        <w:spacing w:after="80" w:line="259" w:lineRule="auto"/>
      </w:pPr>
      <w:r>
        <w:rPr>
          <w:rFonts w:ascii="Aptos" w:hAnsi="Aptos"/>
          <w:b w:val="0"/>
          <w:color w:val="16233A"/>
          <w:sz w:val="19"/>
        </w:rPr>
        <w:t>Targeted infrastructure aid can change sharply even when broad municipal aid is maintained. The local effect depends on whether a community had an eligible project and how it responds.</w:t>
      </w:r>
    </w:p>
    <w:p>
      <w:pPr>
        <w:pStyle w:val="Heading2"/>
        <w:spacing w:before="100" w:after="80"/>
        <w:keepNext/>
      </w:pPr>
      <w:r>
        <w:rPr>
          <w:rFonts w:ascii="Georgia" w:hAnsi="Georgia"/>
          <w:b/>
          <w:color w:val="16233A"/>
          <w:sz w:val="25"/>
        </w:rPr>
        <w:t>Questions to ask</w:t>
      </w:r>
    </w:p>
    <w:p>
      <w:pPr>
        <w:pStyle w:val="ListBullet"/>
        <w:spacing w:after="40" w:line="252" w:lineRule="auto"/>
        <w:ind w:left="346" w:hanging="230"/>
      </w:pPr>
      <w:r>
        <w:rPr>
          <w:rFonts w:ascii="Aptos" w:hAnsi="Aptos"/>
          <w:b w:val="0"/>
          <w:color w:val="16233A"/>
          <w:sz w:val="19"/>
        </w:rPr>
        <w:t>Is the claim about a statewide total or a particular program and town</w:t>
      </w:r>
    </w:p>
    <w:p>
      <w:pPr>
        <w:pStyle w:val="ListBullet"/>
        <w:spacing w:after="40" w:line="252" w:lineRule="auto"/>
        <w:ind w:left="346" w:hanging="230"/>
      </w:pPr>
      <w:r>
        <w:rPr>
          <w:rFonts w:ascii="Aptos" w:hAnsi="Aptos"/>
          <w:b w:val="0"/>
          <w:color w:val="16233A"/>
          <w:sz w:val="19"/>
        </w:rPr>
        <w:t>Does it compare current policy with a clear baseline</w:t>
      </w:r>
    </w:p>
    <w:p>
      <w:pPr>
        <w:pStyle w:val="ListBullet"/>
        <w:spacing w:after="40" w:line="252" w:lineRule="auto"/>
        <w:ind w:left="346" w:hanging="230"/>
      </w:pPr>
      <w:r>
        <w:rPr>
          <w:rFonts w:ascii="Aptos" w:hAnsi="Aptos"/>
          <w:b w:val="0"/>
          <w:color w:val="16233A"/>
          <w:sz w:val="19"/>
        </w:rPr>
        <w:t>Is the local response documented or merely assumed</w:t>
      </w:r>
    </w:p>
    <w:p>
      <w:pPr>
        <w:pStyle w:val="ListBullet"/>
        <w:spacing w:after="40" w:line="252" w:lineRule="auto"/>
        <w:ind w:left="346" w:hanging="230"/>
      </w:pPr>
      <w:r>
        <w:rPr>
          <w:rFonts w:ascii="Aptos" w:hAnsi="Aptos"/>
          <w:b w:val="0"/>
          <w:color w:val="16233A"/>
          <w:sz w:val="19"/>
        </w:rPr>
        <w:t>Does the analysis acknowledge local choices and unavoidable costs</w:t>
      </w:r>
    </w:p>
    <w:p>
      <w:r>
        <w:br w:type="page"/>
      </w:r>
    </w:p>
    <w:p>
      <w:pPr>
        <w:spacing w:after="60"/>
      </w:pPr>
      <w:r>
        <w:rPr>
          <w:rFonts w:ascii="Aptos" w:hAnsi="Aptos"/>
          <w:b/>
          <w:color w:val="656F7E"/>
          <w:sz w:val="17"/>
        </w:rPr>
        <w:t>PAGE 5</w:t>
      </w:r>
    </w:p>
    <w:p>
      <w:pPr>
        <w:pStyle w:val="Title"/>
        <w:spacing w:after="80"/>
        <w:pBdr>
          <w:top w:val="nil"/>
          <w:left w:val="nil"/>
          <w:bottom w:val="nil"/>
          <w:right w:val="nil"/>
          <w:between w:val="nil"/>
          <w:bar w:val="nil"/>
        </w:pBdr>
      </w:pPr>
      <w:r>
        <w:rPr>
          <w:rFonts w:ascii="Georgia" w:hAnsi="Georgia"/>
          <w:b/>
          <w:color w:val="16233A"/>
          <w:sz w:val="50"/>
        </w:rPr>
        <w:t>Sources and reading notes</w:t>
      </w:r>
    </w:p>
    <w:p>
      <w:pPr>
        <w:spacing w:after="220"/>
      </w:pPr>
      <w:r>
        <w:rPr>
          <w:rFonts w:ascii="Georgia" w:hAnsi="Georgia"/>
          <w:color w:val="3E4B5E"/>
          <w:sz w:val="22"/>
        </w:rPr>
        <w:t>Primary records and explanatory sources used in this guide</w:t>
      </w:r>
    </w:p>
    <w:p>
      <w:pPr>
        <w:pStyle w:val="Heading1"/>
        <w:spacing w:before="140" w:after="80"/>
        <w:keepNext/>
      </w:pPr>
      <w:r>
        <w:rPr>
          <w:rFonts w:ascii="Georgia" w:hAnsi="Georgia"/>
          <w:b/>
          <w:color w:val="16233A"/>
          <w:sz w:val="32"/>
        </w:rPr>
        <w:t>How to read the evidence</w:t>
      </w:r>
    </w:p>
    <w:p>
      <w:pPr>
        <w:spacing w:after="200" w:line="259" w:lineRule="auto"/>
      </w:pPr>
      <w:r>
        <w:rPr>
          <w:rFonts w:ascii="Aptos" w:hAnsi="Aptos"/>
          <w:b w:val="0"/>
          <w:color w:val="16233A"/>
          <w:sz w:val="20"/>
        </w:rPr>
        <w:t>Figures use the period named beside each number. Different years are not combined into a single causal calculation. A statewide total does not establish what happened in every municipality, and a correlation does not prove that one policy caused the result.</w:t>
      </w:r>
    </w:p>
    <w:p>
      <w:pPr>
        <w:pStyle w:val="Heading1"/>
        <w:spacing w:before="140" w:after="80"/>
        <w:keepNext/>
      </w:pPr>
      <w:r>
        <w:rPr>
          <w:rFonts w:ascii="Georgia" w:hAnsi="Georgia"/>
          <w:b/>
          <w:color w:val="16233A"/>
          <w:sz w:val="32"/>
        </w:rPr>
        <w:t>Sources</w:t>
      </w:r>
    </w:p>
    <w:p>
      <w:pPr>
        <w:spacing w:after="140"/>
      </w:pPr>
      <w:r>
        <w:rPr>
          <w:rFonts w:ascii="Aptos" w:hAnsi="Aptos"/>
          <w:b/>
          <w:color w:val="656F7E"/>
          <w:sz w:val="19"/>
        </w:rPr>
        <w:t xml:space="preserve">1  </w:t>
      </w:r>
      <w:hyperlink r:id="rId10">
        <w:r>
          <w:rPr>
            <w:color w:val="1B2C4B"/>
            <w:u w:val="single"/>
            <w:sz w:val="19"/>
          </w:rPr>
          <w:t>New Hampshire Municipal Association state budget municipal impacts</w:t>
        </w:r>
      </w:hyperlink>
    </w:p>
    <w:p>
      <w:pPr>
        <w:spacing w:after="140"/>
      </w:pPr>
      <w:r>
        <w:rPr>
          <w:rFonts w:ascii="Aptos" w:hAnsi="Aptos"/>
          <w:b/>
          <w:color w:val="656F7E"/>
          <w:sz w:val="19"/>
        </w:rPr>
        <w:t xml:space="preserve">2  </w:t>
      </w:r>
      <w:hyperlink r:id="rId11">
        <w:r>
          <w:rPr>
            <w:color w:val="1B2C4B"/>
            <w:u w:val="single"/>
            <w:sz w:val="19"/>
          </w:rPr>
          <w:t>New Hampshire Department of Revenue Administration statewide education property tax</w:t>
        </w:r>
      </w:hyperlink>
    </w:p>
    <w:p>
      <w:pPr>
        <w:spacing w:after="140"/>
      </w:pPr>
      <w:r>
        <w:rPr>
          <w:rFonts w:ascii="Aptos" w:hAnsi="Aptos"/>
          <w:b/>
          <w:color w:val="656F7E"/>
          <w:sz w:val="19"/>
        </w:rPr>
        <w:t xml:space="preserve">3  </w:t>
      </w:r>
      <w:hyperlink r:id="rId12">
        <w:r>
          <w:rPr>
            <w:color w:val="1B2C4B"/>
            <w:u w:val="single"/>
            <w:sz w:val="19"/>
          </w:rPr>
          <w:t>New Hampshire Fiscal Policy Institute fiscal policies in 2025</w:t>
        </w:r>
      </w:hyperlink>
    </w:p>
    <w:p>
      <w:pPr>
        <w:spacing w:after="140"/>
      </w:pPr>
      <w:r>
        <w:rPr>
          <w:rFonts w:ascii="Aptos" w:hAnsi="Aptos"/>
          <w:b/>
          <w:color w:val="656F7E"/>
          <w:sz w:val="19"/>
        </w:rPr>
        <w:t xml:space="preserve">4  </w:t>
      </w:r>
      <w:hyperlink r:id="rId13">
        <w:r>
          <w:rPr>
            <w:color w:val="1B2C4B"/>
            <w:u w:val="single"/>
            <w:sz w:val="19"/>
          </w:rPr>
          <w:t>New Hampshire Public Radio reporting on school tax caps</w:t>
        </w:r>
      </w:hyperlink>
    </w:p>
    <w:sectPr w:rsidR="00FC693F" w:rsidRPr="0006063C" w:rsidSect="00034616">
      <w:footerReference w:type="default" r:id="rId9"/>
      <w:pgSz w:w="12240" w:h="15840"/>
      <w:pgMar w:top="691" w:right="835" w:bottom="691" w:left="835"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color w:val="656F7E"/>
        <w:sz w:val="14"/>
      </w:rPr>
      <w:t>THE STATE LEDGER  •  STATE-LEDGER.ORG  •  CURRENT AS OF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623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hmunicipal.org/town-city-magazine/legislative-update-state-budget-whats-it-municipalities" TargetMode="External"/><Relationship Id="rId11" Type="http://schemas.openxmlformats.org/officeDocument/2006/relationships/hyperlink" Target="https://www.revenue.nh.gov/taxes-glance/statewide-education-property-tax" TargetMode="External"/><Relationship Id="rId12" Type="http://schemas.openxmlformats.org/officeDocument/2006/relationships/hyperlink" Target="https://nhfpi.org/resource/education-in-new-hampshire-fiscal-policies-in-2025/" TargetMode="External"/><Relationship Id="rId13" Type="http://schemas.openxmlformats.org/officeDocument/2006/relationships/hyperlink" Target="https://www.nhpr.org/nh-news/2026-03-11/nh-newhampshire-local-spending-cap-schools-education-property-ta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