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ptos" w:hAnsi="Aptos"/>
          <w:b/>
          <w:color w:val="656F7E"/>
          <w:sz w:val="17"/>
        </w:rPr>
        <w:t>PLAIN LANGUAGE REFERENCE</w:t>
      </w:r>
    </w:p>
    <w:p>
      <w:pPr>
        <w:pStyle w:val="Title"/>
        <w:spacing w:after="80"/>
        <w:pBdr>
          <w:top w:val="nil"/>
          <w:left w:val="nil"/>
          <w:bottom w:val="nil"/>
          <w:right w:val="nil"/>
          <w:between w:val="nil"/>
          <w:bar w:val="nil"/>
        </w:pBdr>
      </w:pPr>
      <w:r>
        <w:rPr>
          <w:rFonts w:ascii="Georgia" w:hAnsi="Georgia"/>
          <w:b/>
          <w:color w:val="16233A"/>
          <w:sz w:val="50"/>
        </w:rPr>
        <w:t>New Hampshire School Funding</w:t>
      </w:r>
    </w:p>
    <w:p>
      <w:pPr>
        <w:spacing w:after="220"/>
      </w:pPr>
      <w:r>
        <w:rPr>
          <w:rFonts w:ascii="Georgia" w:hAnsi="Georgia"/>
          <w:color w:val="3E4B5E"/>
          <w:sz w:val="22"/>
        </w:rPr>
        <w:t>How state aid local property taxes and community wealth shape what schools can raise</w:t>
      </w:r>
    </w:p>
    <w:tbl>
      <w:tblPr>
        <w:tblW w:type="auto" w:w="0"/>
        <w:jc w:val="center"/>
        <w:tblLayout w:type="fixed"/>
        <w:tblLook w:firstColumn="1" w:firstRow="1" w:lastColumn="0" w:lastRow="0" w:noHBand="0" w:noVBand="1" w:val="04A0"/>
      </w:tblPr>
      <w:tblGrid>
        <w:gridCol w:w="3523"/>
        <w:gridCol w:w="3523"/>
        <w:gridCol w:w="3523"/>
      </w:tblGrid>
      <w:tr>
        <w:tc>
          <w:tcPr>
            <w:tcW w:type="dxa" w:w="3528"/>
            <w:vAlign w:val="center"/>
            <w:shd w:fill="EAF1F6"/>
            <w:tcBorders>
              <w:top w:val="single" w:sz="5" w:color="D7DDE3"/>
              <w:left w:val="single" w:sz="5" w:color="D7DDE3"/>
              <w:bottom w:val="single" w:sz="5" w:color="D7DDE3"/>
              <w:right w:val="single" w:sz="5" w:color="D7DDE3"/>
            </w:tcBorders>
            <w:tcMar>
              <w:top w:w="125" w:type="dxa"/>
              <w:start w:w="110" w:type="dxa"/>
              <w:bottom w:w="115" w:type="dxa"/>
              <w:end w:w="110" w:type="dxa"/>
            </w:tcMar>
          </w:tcPr>
          <w:p>
            <w:pPr>
              <w:spacing w:after="60"/>
              <w:jc w:val="center"/>
            </w:pPr>
            <w:r>
              <w:rPr>
                <w:rFonts w:ascii="Aptos" w:hAnsi="Aptos"/>
                <w:b/>
                <w:color w:val="16233A"/>
                <w:sz w:val="30"/>
              </w:rPr>
              <w:t>25.6%</w:t>
            </w:r>
          </w:p>
          <w:p>
            <w:pPr>
              <w:spacing w:after="0"/>
              <w:jc w:val="center"/>
            </w:pPr>
            <w:r>
              <w:rPr>
                <w:rFonts w:ascii="Aptos" w:hAnsi="Aptos"/>
                <w:b w:val="0"/>
                <w:color w:val="3E4B5E"/>
                <w:sz w:val="17"/>
              </w:rPr>
              <w:t>Share of school revenue from Adequate Education Aid in 2024 to 2025</w:t>
            </w:r>
          </w:p>
        </w:tc>
        <w:tc>
          <w:tcPr>
            <w:tcW w:type="dxa" w:w="3528"/>
            <w:vAlign w:val="center"/>
            <w:shd w:fill="EAF1F6"/>
            <w:tcBorders>
              <w:top w:val="single" w:sz="5" w:color="D7DDE3"/>
              <w:left w:val="single" w:sz="5" w:color="D7DDE3"/>
              <w:bottom w:val="single" w:sz="5" w:color="D7DDE3"/>
              <w:right w:val="single" w:sz="5" w:color="D7DDE3"/>
            </w:tcBorders>
            <w:tcMar>
              <w:top w:w="125" w:type="dxa"/>
              <w:start w:w="110" w:type="dxa"/>
              <w:bottom w:w="115" w:type="dxa"/>
              <w:end w:w="110" w:type="dxa"/>
            </w:tcMar>
          </w:tcPr>
          <w:p>
            <w:pPr>
              <w:spacing w:after="60"/>
              <w:jc w:val="center"/>
            </w:pPr>
            <w:r>
              <w:rPr>
                <w:rFonts w:ascii="Aptos" w:hAnsi="Aptos"/>
                <w:b/>
                <w:color w:val="16233A"/>
                <w:sz w:val="30"/>
              </w:rPr>
              <w:t>63.5%</w:t>
            </w:r>
          </w:p>
          <w:p>
            <w:pPr>
              <w:spacing w:after="0"/>
              <w:jc w:val="center"/>
            </w:pPr>
            <w:r>
              <w:rPr>
                <w:rFonts w:ascii="Aptos" w:hAnsi="Aptos"/>
                <w:b w:val="0"/>
                <w:color w:val="3E4B5E"/>
                <w:sz w:val="17"/>
              </w:rPr>
              <w:t>Share from local property taxes excluding SWEPT in 2024 to 2025</w:t>
            </w:r>
          </w:p>
        </w:tc>
        <w:tc>
          <w:tcPr>
            <w:tcW w:type="dxa" w:w="3528"/>
            <w:vAlign w:val="center"/>
            <w:shd w:fill="EAF1F6"/>
            <w:tcBorders>
              <w:top w:val="single" w:sz="5" w:color="D7DDE3"/>
              <w:left w:val="single" w:sz="5" w:color="D7DDE3"/>
              <w:bottom w:val="single" w:sz="5" w:color="D7DDE3"/>
              <w:right w:val="single" w:sz="5" w:color="D7DDE3"/>
            </w:tcBorders>
            <w:tcMar>
              <w:top w:w="125" w:type="dxa"/>
              <w:start w:w="110" w:type="dxa"/>
              <w:bottom w:w="115" w:type="dxa"/>
              <w:end w:w="110" w:type="dxa"/>
            </w:tcMar>
          </w:tcPr>
          <w:p>
            <w:pPr>
              <w:spacing w:after="60"/>
              <w:jc w:val="center"/>
            </w:pPr>
            <w:r>
              <w:rPr>
                <w:rFonts w:ascii="Aptos" w:hAnsi="Aptos"/>
                <w:b/>
                <w:color w:val="16233A"/>
                <w:sz w:val="30"/>
              </w:rPr>
              <w:t>$4,351</w:t>
            </w:r>
          </w:p>
          <w:p>
            <w:pPr>
              <w:spacing w:after="0"/>
              <w:jc w:val="center"/>
            </w:pPr>
            <w:r>
              <w:rPr>
                <w:rFonts w:ascii="Aptos" w:hAnsi="Aptos"/>
                <w:b w:val="0"/>
                <w:color w:val="3E4B5E"/>
                <w:sz w:val="17"/>
              </w:rPr>
              <w:t>Approximate FY2027 base adequacy amount per student before added categories</w:t>
            </w:r>
          </w:p>
        </w:tc>
      </w:tr>
    </w:tbl>
    <w:p>
      <w:pPr>
        <w:pStyle w:val="Heading1"/>
        <w:spacing w:before="140" w:after="80"/>
        <w:keepNext/>
      </w:pPr>
      <w:r>
        <w:rPr>
          <w:rFonts w:ascii="Georgia" w:hAnsi="Georgia"/>
          <w:b/>
          <w:color w:val="16233A"/>
          <w:sz w:val="32"/>
        </w:rPr>
        <w:t>The basic structure</w:t>
      </w:r>
    </w:p>
    <w:p>
      <w:pPr>
        <w:spacing w:after="120" w:line="259" w:lineRule="auto"/>
      </w:pPr>
      <w:r>
        <w:rPr>
          <w:rFonts w:ascii="Aptos" w:hAnsi="Aptos"/>
          <w:b w:val="0"/>
          <w:color w:val="16233A"/>
          <w:sz w:val="20"/>
        </w:rPr>
        <w:t>New Hampshire does not fund each student with one uniform payment. A state formula calculates Adequate Education Aid, then local school districts raise the rest of their approved budgets. Because property value per student differs sharply across communities, the same tax rate can produce very different amounts of school revenue.</w:t>
      </w:r>
    </w:p>
    <w:p>
      <w:pPr>
        <w:pStyle w:val="Heading2"/>
        <w:spacing w:before="100" w:after="80"/>
        <w:keepNext/>
      </w:pPr>
      <w:r>
        <w:rPr>
          <w:rFonts w:ascii="Georgia" w:hAnsi="Georgia"/>
          <w:b/>
          <w:color w:val="16233A"/>
          <w:sz w:val="25"/>
        </w:rPr>
        <w:t>State aid</w:t>
      </w:r>
    </w:p>
    <w:p>
      <w:pPr>
        <w:pStyle w:val="ListBullet"/>
        <w:spacing w:after="80" w:line="252" w:lineRule="auto"/>
        <w:ind w:left="346" w:hanging="230"/>
      </w:pPr>
      <w:r>
        <w:rPr>
          <w:rFonts w:ascii="Aptos" w:hAnsi="Aptos"/>
          <w:b w:val="0"/>
          <w:color w:val="16233A"/>
          <w:sz w:val="20"/>
        </w:rPr>
        <w:t>The formula begins with a base amount and adds differentiated aid for qualifying students and communities.</w:t>
      </w:r>
    </w:p>
    <w:p>
      <w:pPr>
        <w:pStyle w:val="ListBullet"/>
        <w:spacing w:after="80" w:line="252" w:lineRule="auto"/>
        <w:ind w:left="346" w:hanging="230"/>
      </w:pPr>
      <w:r>
        <w:rPr>
          <w:rFonts w:ascii="Aptos" w:hAnsi="Aptos"/>
          <w:b w:val="0"/>
          <w:color w:val="16233A"/>
          <w:sz w:val="20"/>
        </w:rPr>
        <w:t>Statewide Education Property Tax revenue is part of the adequacy system, but it is raised from property within each municipality.</w:t>
      </w:r>
    </w:p>
    <w:p>
      <w:pPr>
        <w:pStyle w:val="ListBullet"/>
        <w:spacing w:after="80" w:line="252" w:lineRule="auto"/>
        <w:ind w:left="346" w:hanging="230"/>
      </w:pPr>
      <w:r>
        <w:rPr>
          <w:rFonts w:ascii="Aptos" w:hAnsi="Aptos"/>
          <w:b w:val="0"/>
          <w:color w:val="16233A"/>
          <w:sz w:val="20"/>
        </w:rPr>
        <w:t>Aggregate state aid can increase while individual municipalities receive less because enrollment, property wealth, transition grants, and formula categories change.</w:t>
      </w:r>
    </w:p>
    <w:p>
      <w:pPr>
        <w:pStyle w:val="Heading2"/>
        <w:spacing w:before="100" w:after="80"/>
        <w:keepNext/>
      </w:pPr>
      <w:r>
        <w:rPr>
          <w:rFonts w:ascii="Georgia" w:hAnsi="Georgia"/>
          <w:b/>
          <w:color w:val="16233A"/>
          <w:sz w:val="25"/>
        </w:rPr>
        <w:t>Local funding</w:t>
      </w:r>
    </w:p>
    <w:p>
      <w:pPr>
        <w:pStyle w:val="ListBullet"/>
        <w:spacing w:after="80" w:line="252" w:lineRule="auto"/>
        <w:ind w:left="346" w:hanging="230"/>
      </w:pPr>
      <w:r>
        <w:rPr>
          <w:rFonts w:ascii="Aptos" w:hAnsi="Aptos"/>
          <w:b w:val="0"/>
          <w:color w:val="16233A"/>
          <w:sz w:val="20"/>
        </w:rPr>
        <w:t>District voters or elected bodies approve school budgets under local governance rules.</w:t>
      </w:r>
    </w:p>
    <w:p>
      <w:pPr>
        <w:pStyle w:val="ListBullet"/>
        <w:spacing w:after="80" w:line="252" w:lineRule="auto"/>
        <w:ind w:left="346" w:hanging="230"/>
      </w:pPr>
      <w:r>
        <w:rPr>
          <w:rFonts w:ascii="Aptos" w:hAnsi="Aptos"/>
          <w:b w:val="0"/>
          <w:color w:val="16233A"/>
          <w:sz w:val="20"/>
        </w:rPr>
        <w:t>The local education tax rate must raise the portion not covered by state aid, federal aid, tuition, reserves, and other revenue.</w:t>
      </w:r>
    </w:p>
    <w:p>
      <w:pPr>
        <w:pStyle w:val="ListBullet"/>
        <w:spacing w:after="80" w:line="252" w:lineRule="auto"/>
        <w:ind w:left="346" w:hanging="230"/>
      </w:pPr>
      <w:r>
        <w:rPr>
          <w:rFonts w:ascii="Aptos" w:hAnsi="Aptos"/>
          <w:b w:val="0"/>
          <w:color w:val="16233A"/>
          <w:sz w:val="20"/>
        </w:rPr>
        <w:t>A community with less taxable property per student generally needs a higher rate to raise the same dollars per student.</w:t>
      </w:r>
    </w:p>
    <w:p>
      <w:pPr>
        <w:pStyle w:val="Heading2"/>
        <w:spacing w:before="100" w:after="80"/>
        <w:keepNext/>
      </w:pPr>
      <w:r>
        <w:rPr>
          <w:rFonts w:ascii="Georgia" w:hAnsi="Georgia"/>
          <w:b/>
          <w:color w:val="16233A"/>
          <w:sz w:val="25"/>
        </w:rPr>
        <w:t>What cost per pupil means</w:t>
      </w:r>
    </w:p>
    <w:p>
      <w:pPr>
        <w:pStyle w:val="ListBullet"/>
        <w:spacing w:after="80" w:line="252" w:lineRule="auto"/>
        <w:ind w:left="346" w:hanging="230"/>
      </w:pPr>
      <w:r>
        <w:rPr>
          <w:rFonts w:ascii="Aptos" w:hAnsi="Aptos"/>
          <w:b w:val="0"/>
          <w:color w:val="16233A"/>
          <w:sz w:val="20"/>
        </w:rPr>
        <w:t>The Department of Education measure is an operating expenditure measure divided by average daily membership in attendance.</w:t>
      </w:r>
    </w:p>
    <w:p>
      <w:pPr>
        <w:pStyle w:val="ListBullet"/>
        <w:spacing w:after="80" w:line="252" w:lineRule="auto"/>
        <w:ind w:left="346" w:hanging="230"/>
      </w:pPr>
      <w:r>
        <w:rPr>
          <w:rFonts w:ascii="Aptos" w:hAnsi="Aptos"/>
          <w:b w:val="0"/>
          <w:color w:val="16233A"/>
          <w:sz w:val="20"/>
        </w:rPr>
        <w:t>It excludes some items, including transportation and certain tuition and capital costs, so it is not simply the total budget divided by enrollment.</w:t>
      </w:r>
    </w:p>
    <w:p>
      <w:r>
        <w:br w:type="page"/>
      </w:r>
    </w:p>
    <w:p>
      <w:pPr>
        <w:spacing w:after="60"/>
      </w:pPr>
      <w:r>
        <w:rPr>
          <w:rFonts w:ascii="Aptos" w:hAnsi="Aptos"/>
          <w:b/>
          <w:color w:val="656F7E"/>
          <w:sz w:val="17"/>
        </w:rPr>
        <w:t>PAGE 2</w:t>
      </w:r>
    </w:p>
    <w:p>
      <w:pPr>
        <w:pStyle w:val="Title"/>
        <w:spacing w:after="80"/>
        <w:pBdr>
          <w:top w:val="nil"/>
          <w:left w:val="nil"/>
          <w:bottom w:val="nil"/>
          <w:right w:val="nil"/>
          <w:between w:val="nil"/>
          <w:bar w:val="nil"/>
        </w:pBdr>
      </w:pPr>
      <w:r>
        <w:rPr>
          <w:rFonts w:ascii="Georgia" w:hAnsi="Georgia"/>
          <w:b/>
          <w:color w:val="16233A"/>
          <w:sz w:val="50"/>
        </w:rPr>
        <w:t>Claims and the complete picture</w:t>
      </w:r>
    </w:p>
    <w:p>
      <w:pPr>
        <w:spacing w:after="220"/>
      </w:pPr>
      <w:r>
        <w:rPr>
          <w:rFonts w:ascii="Georgia" w:hAnsi="Georgia"/>
          <w:color w:val="3E4B5E"/>
          <w:sz w:val="22"/>
        </w:rPr>
        <w:t>A true fragment can still produce a misleading conclusion when tax capacity or formula details are omitted</w:t>
      </w: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Schools spend too much and that explains high taxes</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Spending decisions affect the local levy, and statewide enrollment has declined while total spending has risen.</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Tax capacity matters. A property poor town may need a much higher rate than a property rich town even when it spends less per student.</w:t>
            </w:r>
          </w:p>
          <w:p>
            <w:pPr>
              <w:spacing w:after="0"/>
            </w:pPr>
            <w:r>
              <w:rPr>
                <w:rFonts w:ascii="Aptos" w:hAnsi="Aptos"/>
                <w:b/>
                <w:color w:val="16233A"/>
                <w:sz w:val="19"/>
              </w:rPr>
              <w:t xml:space="preserve">Ask  </w:t>
            </w:r>
            <w:r>
              <w:rPr>
                <w:rFonts w:ascii="Aptos" w:hAnsi="Aptos"/>
                <w:b w:val="0"/>
                <w:color w:val="3E4B5E"/>
                <w:sz w:val="19"/>
              </w:rPr>
              <w:t>How much equalized property value does the community have per resident student</w:t>
            </w:r>
          </w:p>
        </w:tc>
      </w:tr>
    </w:tbl>
    <w:p>
      <w:pPr>
        <w:spacing w:after="0"/>
      </w:pP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State education funding went up</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Nominal statewide adequacy funding has increased in recent budgets.</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The state share of total school revenue fell from 34.9 percent in 2007 to 2008 to 25.6 percent in 2024 to 2025. In FY2026, 145 municipalities received less State Adequacy Aid even as the statewide total rose.</w:t>
            </w:r>
          </w:p>
          <w:p>
            <w:pPr>
              <w:spacing w:after="0"/>
            </w:pPr>
            <w:r>
              <w:rPr>
                <w:rFonts w:ascii="Aptos" w:hAnsi="Aptos"/>
                <w:b/>
                <w:color w:val="16233A"/>
                <w:sz w:val="19"/>
              </w:rPr>
              <w:t xml:space="preserve">Ask  </w:t>
            </w:r>
            <w:r>
              <w:rPr>
                <w:rFonts w:ascii="Aptos" w:hAnsi="Aptos"/>
                <w:b w:val="0"/>
                <w:color w:val="3E4B5E"/>
                <w:sz w:val="19"/>
              </w:rPr>
              <w:t>Did this municipality receive more or less and did the increase keep pace with costs</w:t>
            </w:r>
          </w:p>
        </w:tc>
      </w:tr>
    </w:tbl>
    <w:p>
      <w:pPr>
        <w:spacing w:after="0"/>
      </w:pP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SWEPT is state funding</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SWEPT is established by state law and counted within the state adequacy system.</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The tax is assessed on local property and, under current law, retained by the municipality where it is raised. Property rich communities can raise far more per student at the same statutory rate.</w:t>
            </w:r>
          </w:p>
          <w:p>
            <w:pPr>
              <w:spacing w:after="0"/>
            </w:pPr>
            <w:r>
              <w:rPr>
                <w:rFonts w:ascii="Aptos" w:hAnsi="Aptos"/>
                <w:b/>
                <w:color w:val="16233A"/>
                <w:sz w:val="19"/>
              </w:rPr>
              <w:t xml:space="preserve">Ask  </w:t>
            </w:r>
            <w:r>
              <w:rPr>
                <w:rFonts w:ascii="Aptos" w:hAnsi="Aptos"/>
                <w:b w:val="0"/>
                <w:color w:val="3E4B5E"/>
                <w:sz w:val="19"/>
              </w:rPr>
              <w:t>Who pays the tax where is it retained and how much does it raise per student</w:t>
            </w:r>
          </w:p>
        </w:tc>
      </w:tr>
    </w:tbl>
    <w:p>
      <w:pPr>
        <w:spacing w:after="0"/>
      </w:pPr>
    </w:p>
    <w:p>
      <w:r>
        <w:br w:type="page"/>
      </w:r>
    </w:p>
    <w:p>
      <w:pPr>
        <w:spacing w:after="60"/>
      </w:pPr>
      <w:r>
        <w:rPr>
          <w:rFonts w:ascii="Aptos" w:hAnsi="Aptos"/>
          <w:b/>
          <w:color w:val="656F7E"/>
          <w:sz w:val="17"/>
        </w:rPr>
        <w:t>PAGE 3</w:t>
      </w:r>
    </w:p>
    <w:p>
      <w:pPr>
        <w:pStyle w:val="Title"/>
        <w:spacing w:after="80"/>
        <w:pBdr>
          <w:top w:val="nil"/>
          <w:left w:val="nil"/>
          <w:bottom w:val="nil"/>
          <w:right w:val="nil"/>
          <w:between w:val="nil"/>
          <w:bar w:val="nil"/>
        </w:pBdr>
      </w:pPr>
      <w:r>
        <w:rPr>
          <w:rFonts w:ascii="Georgia" w:hAnsi="Georgia"/>
          <w:b/>
          <w:color w:val="16233A"/>
          <w:sz w:val="50"/>
        </w:rPr>
        <w:t>Claims and the complete picture</w:t>
      </w:r>
    </w:p>
    <w:p>
      <w:pPr>
        <w:spacing w:after="220"/>
      </w:pPr>
      <w:r>
        <w:rPr>
          <w:rFonts w:ascii="Georgia" w:hAnsi="Georgia"/>
          <w:color w:val="3E4B5E"/>
          <w:sz w:val="22"/>
        </w:rPr>
        <w:t>A true fragment can still produce a misleading conclusion when tax capacity or formula details are omitted</w:t>
      </w: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The state pays for an adequate education</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The state defines an adequacy formula and distributes base and differentiated aid under that formula.</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The formula amount is not the full cost of operating a district. Courts and policymakers continue to dispute whether the state contribution meets its constitutional duty.</w:t>
            </w:r>
          </w:p>
          <w:p>
            <w:pPr>
              <w:spacing w:after="0"/>
            </w:pPr>
            <w:r>
              <w:rPr>
                <w:rFonts w:ascii="Aptos" w:hAnsi="Aptos"/>
                <w:b/>
                <w:color w:val="16233A"/>
                <w:sz w:val="19"/>
              </w:rPr>
              <w:t xml:space="preserve">Ask  </w:t>
            </w:r>
            <w:r>
              <w:rPr>
                <w:rFonts w:ascii="Aptos" w:hAnsi="Aptos"/>
                <w:b w:val="0"/>
                <w:color w:val="3E4B5E"/>
                <w:sz w:val="19"/>
              </w:rPr>
              <w:t>Is the speaker describing the statutory formula or the actual cost of delivering the required education</w:t>
            </w:r>
          </w:p>
        </w:tc>
      </w:tr>
    </w:tbl>
    <w:p>
      <w:pPr>
        <w:spacing w:after="0"/>
      </w:pP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More state aid fixes the system</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Additional state aid can reduce local levy pressure and narrow differences in tax capacity.</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Aid design matters. Distribution rules, local budget choices, cost growth, and whether aid replaces or supplements local revenue determine the result.</w:t>
            </w:r>
          </w:p>
          <w:p>
            <w:pPr>
              <w:spacing w:after="0"/>
            </w:pPr>
            <w:r>
              <w:rPr>
                <w:rFonts w:ascii="Aptos" w:hAnsi="Aptos"/>
                <w:b/>
                <w:color w:val="16233A"/>
                <w:sz w:val="19"/>
              </w:rPr>
              <w:t xml:space="preserve">Ask  </w:t>
            </w:r>
            <w:r>
              <w:rPr>
                <w:rFonts w:ascii="Aptos" w:hAnsi="Aptos"/>
                <w:b w:val="0"/>
                <w:color w:val="3E4B5E"/>
                <w:sz w:val="19"/>
              </w:rPr>
              <w:t>Which communities receive the aid and what happens to the local levy</w:t>
            </w:r>
          </w:p>
        </w:tc>
      </w:tr>
    </w:tbl>
    <w:p>
      <w:pPr>
        <w:spacing w:after="0"/>
      </w:pPr>
    </w:p>
    <w:tbl>
      <w:tblPr>
        <w:tblW w:type="auto" w:w="0"/>
        <w:jc w:val="center"/>
        <w:tblLayout w:type="fixed"/>
        <w:tblLook w:firstColumn="1" w:firstRow="1" w:lastColumn="0" w:lastRow="0" w:noHBand="0" w:noVBand="1" w:val="04A0"/>
      </w:tblPr>
      <w:tblGrid>
        <w:gridCol w:w="10584"/>
      </w:tblGrid>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1B2C4B"/>
          </w:tcPr>
          <w:p>
            <w:pPr>
              <w:spacing w:after="0"/>
            </w:pPr>
            <w:r>
              <w:rPr>
                <w:rFonts w:ascii="Aptos" w:hAnsi="Aptos"/>
                <w:b/>
                <w:color w:val="FFFFFF"/>
                <w:sz w:val="22"/>
              </w:rPr>
              <w:t>Cost per pupil proves efficiency or waste</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tcPr>
          <w:p>
            <w:pPr>
              <w:spacing w:after="40"/>
            </w:pPr>
            <w:r>
              <w:rPr>
                <w:rFonts w:ascii="Aptos" w:hAnsi="Aptos"/>
                <w:b/>
                <w:color w:val="16233A"/>
                <w:sz w:val="19"/>
              </w:rPr>
              <w:t xml:space="preserve">What is true  </w:t>
            </w:r>
            <w:r>
              <w:rPr>
                <w:rFonts w:ascii="Aptos" w:hAnsi="Aptos"/>
                <w:b w:val="0"/>
                <w:color w:val="16233A"/>
                <w:sz w:val="19"/>
              </w:rPr>
              <w:t>Cost per pupil is useful for comparing trends and flagging questions.</w:t>
            </w:r>
          </w:p>
        </w:tc>
      </w:tr>
      <w:tr>
        <w:tc>
          <w:tcPr>
            <w:tcW w:type="dxa" w:w="10584"/>
            <w:tcBorders>
              <w:top w:val="single" w:sz="5" w:color="D7DDE3"/>
              <w:left w:val="single" w:sz="5" w:color="D7DDE3"/>
              <w:bottom w:val="single" w:sz="5" w:color="D7DDE3"/>
              <w:right w:val="single" w:sz="5" w:color="D7DDE3"/>
            </w:tcBorders>
            <w:tcMar>
              <w:top w:w="90" w:type="dxa"/>
              <w:start w:w="125" w:type="dxa"/>
              <w:bottom w:w="85" w:type="dxa"/>
              <w:end w:w="125" w:type="dxa"/>
            </w:tcMar>
            <w:shd w:fill="F7F8FA"/>
          </w:tcPr>
          <w:p>
            <w:pPr>
              <w:spacing w:after="40"/>
            </w:pPr>
            <w:r>
              <w:rPr>
                <w:rFonts w:ascii="Aptos" w:hAnsi="Aptos"/>
                <w:b/>
                <w:color w:val="16233A"/>
                <w:sz w:val="19"/>
              </w:rPr>
              <w:t xml:space="preserve">What is missing  </w:t>
            </w:r>
            <w:r>
              <w:rPr>
                <w:rFonts w:ascii="Aptos" w:hAnsi="Aptos"/>
                <w:b w:val="0"/>
                <w:color w:val="16233A"/>
                <w:sz w:val="19"/>
              </w:rPr>
              <w:t>Small districts, special education, transportation, staffing, facilities, and enrollment changes affect the number. It does not measure student outcomes or tax capacity by itself.</w:t>
            </w:r>
          </w:p>
          <w:p>
            <w:pPr>
              <w:spacing w:after="0"/>
            </w:pPr>
            <w:r>
              <w:rPr>
                <w:rFonts w:ascii="Aptos" w:hAnsi="Aptos"/>
                <w:b/>
                <w:color w:val="16233A"/>
                <w:sz w:val="19"/>
              </w:rPr>
              <w:t xml:space="preserve">Ask  </w:t>
            </w:r>
            <w:r>
              <w:rPr>
                <w:rFonts w:ascii="Aptos" w:hAnsi="Aptos"/>
                <w:b w:val="0"/>
                <w:color w:val="3E4B5E"/>
                <w:sz w:val="19"/>
              </w:rPr>
              <w:t>Which costs are included and what conditions differ across the districts being compared</w:t>
            </w:r>
          </w:p>
        </w:tc>
      </w:tr>
    </w:tbl>
    <w:p>
      <w:pPr>
        <w:spacing w:after="0"/>
      </w:pPr>
    </w:p>
    <w:p>
      <w:r>
        <w:br w:type="page"/>
      </w:r>
    </w:p>
    <w:p>
      <w:pPr>
        <w:spacing w:after="60"/>
      </w:pPr>
      <w:r>
        <w:rPr>
          <w:rFonts w:ascii="Aptos" w:hAnsi="Aptos"/>
          <w:b/>
          <w:color w:val="656F7E"/>
          <w:sz w:val="17"/>
        </w:rPr>
        <w:t>USE THE NUMBERS CAREFULLY</w:t>
      </w:r>
    </w:p>
    <w:p>
      <w:pPr>
        <w:pStyle w:val="Title"/>
        <w:spacing w:after="80"/>
        <w:pBdr>
          <w:top w:val="nil"/>
          <w:left w:val="nil"/>
          <w:bottom w:val="nil"/>
          <w:right w:val="nil"/>
          <w:between w:val="nil"/>
          <w:bar w:val="nil"/>
        </w:pBdr>
      </w:pPr>
      <w:r>
        <w:rPr>
          <w:rFonts w:ascii="Georgia" w:hAnsi="Georgia"/>
          <w:b/>
          <w:color w:val="16233A"/>
          <w:sz w:val="50"/>
        </w:rPr>
        <w:t>Tax capacity changes the result</w:t>
      </w:r>
    </w:p>
    <w:p>
      <w:pPr>
        <w:spacing w:after="220"/>
      </w:pPr>
      <w:r>
        <w:rPr>
          <w:rFonts w:ascii="Georgia" w:hAnsi="Georgia"/>
          <w:color w:val="3E4B5E"/>
          <w:sz w:val="22"/>
        </w:rPr>
        <w:t>A lower spending district can still impose a much higher education tax rate</w:t>
      </w:r>
    </w:p>
    <w:p>
      <w:pPr>
        <w:pStyle w:val="Heading1"/>
        <w:spacing w:before="140" w:after="80"/>
        <w:keepNext/>
      </w:pPr>
      <w:r>
        <w:rPr>
          <w:rFonts w:ascii="Georgia" w:hAnsi="Georgia"/>
          <w:b/>
          <w:color w:val="16233A"/>
          <w:sz w:val="32"/>
        </w:rPr>
        <w:t>Four community comparison</w:t>
      </w:r>
    </w:p>
    <w:tbl>
      <w:tblPr>
        <w:tblW w:type="auto" w:w="0"/>
        <w:jc w:val="center"/>
        <w:tblLayout w:type="fixed"/>
        <w:tblLook w:firstColumn="1" w:firstRow="1" w:lastColumn="0" w:lastRow="0" w:noHBand="0" w:noVBand="1" w:val="04A0"/>
      </w:tblPr>
      <w:tblGrid>
        <w:gridCol w:w="2642"/>
        <w:gridCol w:w="2642"/>
        <w:gridCol w:w="2642"/>
        <w:gridCol w:w="2642"/>
      </w:tblGrid>
      <w:tr>
        <w:trPr>
          <w:tblHeader w:val="true"/>
        </w:trPr>
        <w:tc>
          <w:tcPr>
            <w:tcW w:type="dxa" w:w="2232"/>
            <w:shd w:fill="1B2C4B"/>
            <w:tcBorders>
              <w:top w:val="single" w:sz="5" w:color="1B2C4B"/>
              <w:left w:val="single" w:sz="5" w:color="1B2C4B"/>
              <w:bottom w:val="single" w:sz="5" w:color="1B2C4B"/>
              <w:right w:val="single" w:sz="5" w:color="1B2C4B"/>
            </w:tcBorders>
            <w:tcMar>
              <w:top w:w="95" w:type="dxa"/>
              <w:start w:w="115" w:type="dxa"/>
              <w:bottom w:w="95" w:type="dxa"/>
              <w:end w:w="115" w:type="dxa"/>
            </w:tcMar>
          </w:tcPr>
          <w:p>
            <w:pPr>
              <w:spacing w:after="0"/>
            </w:pPr>
            <w:r>
              <w:rPr>
                <w:rFonts w:ascii="Aptos" w:hAnsi="Aptos"/>
                <w:b/>
                <w:color w:val="FFFFFF"/>
                <w:sz w:val="18"/>
              </w:rPr>
              <w:t>Community</w:t>
            </w:r>
          </w:p>
        </w:tc>
        <w:tc>
          <w:tcPr>
            <w:tcW w:type="dxa" w:w="2664"/>
            <w:shd w:fill="1B2C4B"/>
            <w:tcBorders>
              <w:top w:val="single" w:sz="5" w:color="1B2C4B"/>
              <w:left w:val="single" w:sz="5" w:color="1B2C4B"/>
              <w:bottom w:val="single" w:sz="5" w:color="1B2C4B"/>
              <w:right w:val="single" w:sz="5" w:color="1B2C4B"/>
            </w:tcBorders>
            <w:tcMar>
              <w:top w:w="95" w:type="dxa"/>
              <w:start w:w="115" w:type="dxa"/>
              <w:bottom w:w="95" w:type="dxa"/>
              <w:end w:w="115" w:type="dxa"/>
            </w:tcMar>
          </w:tcPr>
          <w:p>
            <w:pPr>
              <w:spacing w:after="0"/>
            </w:pPr>
            <w:r>
              <w:rPr>
                <w:rFonts w:ascii="Aptos" w:hAnsi="Aptos"/>
                <w:b/>
                <w:color w:val="FFFFFF"/>
                <w:sz w:val="18"/>
              </w:rPr>
              <w:t>Operating cost per pupil</w:t>
            </w:r>
          </w:p>
        </w:tc>
        <w:tc>
          <w:tcPr>
            <w:tcW w:type="dxa" w:w="2520"/>
            <w:shd w:fill="1B2C4B"/>
            <w:tcBorders>
              <w:top w:val="single" w:sz="5" w:color="1B2C4B"/>
              <w:left w:val="single" w:sz="5" w:color="1B2C4B"/>
              <w:bottom w:val="single" w:sz="5" w:color="1B2C4B"/>
              <w:right w:val="single" w:sz="5" w:color="1B2C4B"/>
            </w:tcBorders>
            <w:tcMar>
              <w:top w:w="95" w:type="dxa"/>
              <w:start w:w="115" w:type="dxa"/>
              <w:bottom w:w="95" w:type="dxa"/>
              <w:end w:w="115" w:type="dxa"/>
            </w:tcMar>
          </w:tcPr>
          <w:p>
            <w:pPr>
              <w:spacing w:after="0"/>
            </w:pPr>
            <w:r>
              <w:rPr>
                <w:rFonts w:ascii="Aptos" w:hAnsi="Aptos"/>
                <w:b/>
                <w:color w:val="FFFFFF"/>
                <w:sz w:val="18"/>
              </w:rPr>
              <w:t>2025 education tax rate</w:t>
            </w:r>
          </w:p>
        </w:tc>
        <w:tc>
          <w:tcPr>
            <w:tcW w:type="dxa" w:w="3168"/>
            <w:shd w:fill="1B2C4B"/>
            <w:tcBorders>
              <w:top w:val="single" w:sz="5" w:color="1B2C4B"/>
              <w:left w:val="single" w:sz="5" w:color="1B2C4B"/>
              <w:bottom w:val="single" w:sz="5" w:color="1B2C4B"/>
              <w:right w:val="single" w:sz="5" w:color="1B2C4B"/>
            </w:tcBorders>
            <w:tcMar>
              <w:top w:w="95" w:type="dxa"/>
              <w:start w:w="115" w:type="dxa"/>
              <w:bottom w:w="95" w:type="dxa"/>
              <w:end w:w="115" w:type="dxa"/>
            </w:tcMar>
          </w:tcPr>
          <w:p>
            <w:pPr>
              <w:spacing w:after="0"/>
            </w:pPr>
            <w:r>
              <w:rPr>
                <w:rFonts w:ascii="Aptos" w:hAnsi="Aptos"/>
                <w:b/>
                <w:color w:val="FFFFFF"/>
                <w:sz w:val="18"/>
              </w:rPr>
              <w:t>Equalized value per student</w:t>
            </w:r>
          </w:p>
        </w:tc>
      </w:tr>
      <w:tr>
        <w:tc>
          <w:tcPr>
            <w:tcW w:type="dxa" w:w="2232"/>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Moultonborough</w:t>
            </w:r>
          </w:p>
        </w:tc>
        <w:tc>
          <w:tcPr>
            <w:tcW w:type="dxa" w:w="2664"/>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$35,664</w:t>
            </w:r>
          </w:p>
        </w:tc>
        <w:tc>
          <w:tcPr>
            <w:tcW w:type="dxa" w:w="2520"/>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$2.90</w:t>
            </w:r>
          </w:p>
        </w:tc>
        <w:tc>
          <w:tcPr>
            <w:tcW w:type="dxa" w:w="3168"/>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$14,913,248</w:t>
            </w:r>
          </w:p>
        </w:tc>
      </w:tr>
      <w:tr>
        <w:tc>
          <w:tcPr>
            <w:tcW w:type="dxa" w:w="2232"/>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Claremont</w:t>
            </w:r>
          </w:p>
        </w:tc>
        <w:tc>
          <w:tcPr>
            <w:tcW w:type="dxa" w:w="2664"/>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$23,288</w:t>
            </w:r>
          </w:p>
        </w:tc>
        <w:tc>
          <w:tcPr>
            <w:tcW w:type="dxa" w:w="2520"/>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$17.45</w:t>
            </w:r>
          </w:p>
        </w:tc>
        <w:tc>
          <w:tcPr>
            <w:tcW w:type="dxa" w:w="3168"/>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$873,788</w:t>
            </w:r>
          </w:p>
        </w:tc>
      </w:tr>
      <w:tr>
        <w:tc>
          <w:tcPr>
            <w:tcW w:type="dxa" w:w="2232"/>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Berlin</w:t>
            </w:r>
          </w:p>
        </w:tc>
        <w:tc>
          <w:tcPr>
            <w:tcW w:type="dxa" w:w="2664"/>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$24,138</w:t>
            </w:r>
          </w:p>
        </w:tc>
        <w:tc>
          <w:tcPr>
            <w:tcW w:type="dxa" w:w="2520"/>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$13.90</w:t>
            </w:r>
          </w:p>
        </w:tc>
        <w:tc>
          <w:tcPr>
            <w:tcW w:type="dxa" w:w="3168"/>
            <w:tcBorders>
              <w:top w:val="single" w:sz="5" w:color="D7DDE3"/>
              <w:left w:val="single" w:sz="5" w:color="D7DDE3"/>
              <w:bottom w:val="single" w:sz="5" w:color="D7DDE3"/>
              <w:right w:val="single" w:sz="5" w:color="D7DDE3"/>
            </w:tcBorders>
            <w:tcMar>
              <w:top w:w="95" w:type="dxa"/>
              <w:start w:w="115" w:type="dxa"/>
              <w:bottom w:w="95" w:type="dxa"/>
              <w:end w:w="115" w:type="dxa"/>
            </w:tcMar>
          </w:tcPr>
          <w:p>
            <w:pPr>
              <w:spacing w:after="0"/>
            </w:pPr>
            <w:r>
              <w:rPr>
                <w:rFonts w:ascii="Aptos" w:hAnsi="Aptos"/>
                <w:b w:val="0"/>
                <w:color w:val="16233A"/>
                <w:sz w:val="18"/>
              </w:rPr>
              <w:t>$959,957</w:t>
            </w:r>
          </w:p>
        </w:tc>
      </w:tr>
      <w:tr>
        <w:tc>
          <w:tcPr>
            <w:tcW w:type="dxa" w:w="2232"/>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Pittsfield</w:t>
            </w:r>
          </w:p>
        </w:tc>
        <w:tc>
          <w:tcPr>
            <w:tcW w:type="dxa" w:w="2664"/>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$21,649</w:t>
            </w:r>
          </w:p>
        </w:tc>
        <w:tc>
          <w:tcPr>
            <w:tcW w:type="dxa" w:w="2520"/>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$11.52</w:t>
            </w:r>
          </w:p>
        </w:tc>
        <w:tc>
          <w:tcPr>
            <w:tcW w:type="dxa" w:w="3168"/>
            <w:tcBorders>
              <w:top w:val="single" w:sz="5" w:color="D7DDE3"/>
              <w:left w:val="single" w:sz="5" w:color="D7DDE3"/>
              <w:bottom w:val="single" w:sz="5" w:color="D7DDE3"/>
              <w:right w:val="single" w:sz="5" w:color="D7DDE3"/>
            </w:tcBorders>
            <w:shd w:fill="F7F8FA"/>
            <w:tcMar>
              <w:top w:w="95" w:type="dxa"/>
              <w:start w:w="115" w:type="dxa"/>
              <w:bottom w:w="95" w:type="dxa"/>
              <w:end w:w="115" w:type="dxa"/>
            </w:tcMar>
          </w:tcPr>
          <w:p>
            <w:pPr>
              <w:spacing w:after="0"/>
            </w:pPr>
            <w:r>
              <w:rPr>
                <w:rFonts w:ascii="Aptos" w:hAnsi="Aptos"/>
                <w:b w:val="0"/>
                <w:color w:val="16233A"/>
                <w:sz w:val="18"/>
              </w:rPr>
              <w:t>$1,070,794</w:t>
            </w:r>
          </w:p>
        </w:tc>
      </w:tr>
    </w:tbl>
    <w:p>
      <w:pPr>
        <w:pStyle w:val="Heading2"/>
        <w:spacing w:before="100" w:after="80"/>
        <w:keepNext/>
      </w:pPr>
      <w:r>
        <w:rPr>
          <w:rFonts w:ascii="Georgia" w:hAnsi="Georgia"/>
          <w:b/>
          <w:color w:val="16233A"/>
          <w:sz w:val="25"/>
        </w:rPr>
        <w:t>Read this comparison correctly</w:t>
      </w:r>
    </w:p>
    <w:p>
      <w:pPr>
        <w:spacing w:after="80" w:line="259" w:lineRule="auto"/>
      </w:pPr>
      <w:r>
        <w:rPr>
          <w:rFonts w:ascii="Aptos" w:hAnsi="Aptos"/>
          <w:b w:val="0"/>
          <w:color w:val="16233A"/>
          <w:sz w:val="19"/>
        </w:rPr>
        <w:t>Operating cost figures are from 2023 to 2024, tax rates are from 2025, and equalized values are from the Department of Education property wealth report. The table shows structural differences, not a one year accounting equation.</w:t>
      </w:r>
    </w:p>
    <w:p>
      <w:pPr>
        <w:spacing w:after="80" w:line="259" w:lineRule="auto"/>
      </w:pPr>
      <w:r>
        <w:rPr>
          <w:rFonts w:ascii="Aptos" w:hAnsi="Aptos"/>
          <w:b w:val="0"/>
          <w:color w:val="16233A"/>
          <w:sz w:val="19"/>
        </w:rPr>
        <w:t>On a $400,000 property, the listed combined state and local education rates equal about $1,160 in Moultonborough, $4,608 in Pittsfield, $5,560 in Berlin, and $6,980 in Claremont before exemptions and other tax-rate components.</w:t>
      </w:r>
    </w:p>
    <w:p>
      <w:pPr>
        <w:pStyle w:val="Heading2"/>
        <w:spacing w:before="100" w:after="80"/>
        <w:keepNext/>
      </w:pPr>
      <w:r>
        <w:rPr>
          <w:rFonts w:ascii="Georgia" w:hAnsi="Georgia"/>
          <w:b/>
          <w:color w:val="16233A"/>
          <w:sz w:val="25"/>
        </w:rPr>
        <w:t>Questions to ask</w:t>
      </w:r>
    </w:p>
    <w:p>
      <w:pPr>
        <w:pStyle w:val="ListBullet"/>
        <w:spacing w:after="40" w:line="252" w:lineRule="auto"/>
        <w:ind w:left="346" w:hanging="230"/>
      </w:pPr>
      <w:r>
        <w:rPr>
          <w:rFonts w:ascii="Aptos" w:hAnsi="Aptos"/>
          <w:b w:val="0"/>
          <w:color w:val="16233A"/>
          <w:sz w:val="19"/>
        </w:rPr>
        <w:t>Is the number statewide or community specific</w:t>
      </w:r>
    </w:p>
    <w:p>
      <w:pPr>
        <w:pStyle w:val="ListBullet"/>
        <w:spacing w:after="40" w:line="252" w:lineRule="auto"/>
        <w:ind w:left="346" w:hanging="230"/>
      </w:pPr>
      <w:r>
        <w:rPr>
          <w:rFonts w:ascii="Aptos" w:hAnsi="Aptos"/>
          <w:b w:val="0"/>
          <w:color w:val="16233A"/>
          <w:sz w:val="19"/>
        </w:rPr>
        <w:t>Is SWEPT separated from other state aid or counted twice</w:t>
      </w:r>
    </w:p>
    <w:p>
      <w:pPr>
        <w:pStyle w:val="ListBullet"/>
        <w:spacing w:after="40" w:line="252" w:lineRule="auto"/>
        <w:ind w:left="346" w:hanging="230"/>
      </w:pPr>
      <w:r>
        <w:rPr>
          <w:rFonts w:ascii="Aptos" w:hAnsi="Aptos"/>
          <w:b w:val="0"/>
          <w:color w:val="16233A"/>
          <w:sz w:val="19"/>
        </w:rPr>
        <w:t>Are tax rate spending and property value figures from the same period</w:t>
      </w:r>
    </w:p>
    <w:p>
      <w:pPr>
        <w:pStyle w:val="ListBullet"/>
        <w:spacing w:after="40" w:line="252" w:lineRule="auto"/>
        <w:ind w:left="346" w:hanging="230"/>
      </w:pPr>
      <w:r>
        <w:rPr>
          <w:rFonts w:ascii="Aptos" w:hAnsi="Aptos"/>
          <w:b w:val="0"/>
          <w:color w:val="16233A"/>
          <w:sz w:val="19"/>
        </w:rPr>
        <w:t>Does the comparison account for property value per student and student needs</w:t>
      </w:r>
    </w:p>
    <w:p>
      <w:r>
        <w:br w:type="page"/>
      </w:r>
    </w:p>
    <w:p>
      <w:pPr>
        <w:spacing w:after="60"/>
      </w:pPr>
      <w:r>
        <w:rPr>
          <w:rFonts w:ascii="Aptos" w:hAnsi="Aptos"/>
          <w:b/>
          <w:color w:val="656F7E"/>
          <w:sz w:val="17"/>
        </w:rPr>
        <w:t>PAGE 5</w:t>
      </w:r>
    </w:p>
    <w:p>
      <w:pPr>
        <w:pStyle w:val="Title"/>
        <w:spacing w:after="80"/>
        <w:pBdr>
          <w:top w:val="nil"/>
          <w:left w:val="nil"/>
          <w:bottom w:val="nil"/>
          <w:right w:val="nil"/>
          <w:between w:val="nil"/>
          <w:bar w:val="nil"/>
        </w:pBdr>
      </w:pPr>
      <w:r>
        <w:rPr>
          <w:rFonts w:ascii="Georgia" w:hAnsi="Georgia"/>
          <w:b/>
          <w:color w:val="16233A"/>
          <w:sz w:val="50"/>
        </w:rPr>
        <w:t>Sources and reading notes</w:t>
      </w:r>
    </w:p>
    <w:p>
      <w:pPr>
        <w:spacing w:after="220"/>
      </w:pPr>
      <w:r>
        <w:rPr>
          <w:rFonts w:ascii="Georgia" w:hAnsi="Georgia"/>
          <w:color w:val="3E4B5E"/>
          <w:sz w:val="22"/>
        </w:rPr>
        <w:t>Primary records and explanatory sources used in this guide</w:t>
      </w:r>
    </w:p>
    <w:p>
      <w:pPr>
        <w:pStyle w:val="Heading1"/>
        <w:spacing w:before="140" w:after="80"/>
        <w:keepNext/>
      </w:pPr>
      <w:r>
        <w:rPr>
          <w:rFonts w:ascii="Georgia" w:hAnsi="Georgia"/>
          <w:b/>
          <w:color w:val="16233A"/>
          <w:sz w:val="32"/>
        </w:rPr>
        <w:t>How to read the evidence</w:t>
      </w:r>
    </w:p>
    <w:p>
      <w:pPr>
        <w:spacing w:after="200" w:line="259" w:lineRule="auto"/>
      </w:pPr>
      <w:r>
        <w:rPr>
          <w:rFonts w:ascii="Aptos" w:hAnsi="Aptos"/>
          <w:b w:val="0"/>
          <w:color w:val="16233A"/>
          <w:sz w:val="20"/>
        </w:rPr>
        <w:t>Figures use the period named beside each number. Different years are not combined into a single causal calculation. A statewide total does not establish what happened in every municipality, and a correlation does not prove that one policy caused the result.</w:t>
      </w:r>
    </w:p>
    <w:p>
      <w:pPr>
        <w:pStyle w:val="Heading1"/>
        <w:spacing w:before="140" w:after="80"/>
        <w:keepNext/>
      </w:pPr>
      <w:r>
        <w:rPr>
          <w:rFonts w:ascii="Georgia" w:hAnsi="Georgia"/>
          <w:b/>
          <w:color w:val="16233A"/>
          <w:sz w:val="32"/>
        </w:rPr>
        <w:t>Sources</w:t>
      </w:r>
    </w:p>
    <w:p>
      <w:pPr>
        <w:spacing w:after="140"/>
      </w:pPr>
      <w:r>
        <w:rPr>
          <w:rFonts w:ascii="Aptos" w:hAnsi="Aptos"/>
          <w:b/>
          <w:color w:val="656F7E"/>
          <w:sz w:val="19"/>
        </w:rPr>
        <w:t xml:space="preserve">1  </w:t>
      </w:r>
      <w:hyperlink r:id="rId10">
        <w:r>
          <w:rPr>
            <w:color w:val="1B2C4B"/>
            <w:u w:val="single"/>
            <w:sz w:val="19"/>
          </w:rPr>
          <w:t>New Hampshire Department of Education financial reports</w:t>
        </w:r>
      </w:hyperlink>
    </w:p>
    <w:p>
      <w:pPr>
        <w:spacing w:after="140"/>
      </w:pPr>
      <w:r>
        <w:rPr>
          <w:rFonts w:ascii="Aptos" w:hAnsi="Aptos"/>
          <w:b/>
          <w:color w:val="656F7E"/>
          <w:sz w:val="19"/>
        </w:rPr>
        <w:t xml:space="preserve">2  </w:t>
      </w:r>
      <w:hyperlink r:id="rId11">
        <w:r>
          <w:rPr>
            <w:color w:val="1B2C4B"/>
            <w:u w:val="single"/>
            <w:sz w:val="19"/>
          </w:rPr>
          <w:t>New Hampshire Department of Revenue Administration 2025 tax rates</w:t>
        </w:r>
      </w:hyperlink>
    </w:p>
    <w:p>
      <w:pPr>
        <w:spacing w:after="140"/>
      </w:pPr>
      <w:r>
        <w:rPr>
          <w:rFonts w:ascii="Aptos" w:hAnsi="Aptos"/>
          <w:b/>
          <w:color w:val="656F7E"/>
          <w:sz w:val="19"/>
        </w:rPr>
        <w:t xml:space="preserve">3  </w:t>
      </w:r>
      <w:hyperlink r:id="rId12">
        <w:r>
          <w:rPr>
            <w:color w:val="1B2C4B"/>
            <w:u w:val="single"/>
            <w:sz w:val="19"/>
          </w:rPr>
          <w:t>New Hampshire Department of Education equalized valuation per pupil</w:t>
        </w:r>
      </w:hyperlink>
    </w:p>
    <w:p>
      <w:pPr>
        <w:spacing w:after="140"/>
      </w:pPr>
      <w:r>
        <w:rPr>
          <w:rFonts w:ascii="Aptos" w:hAnsi="Aptos"/>
          <w:b/>
          <w:color w:val="656F7E"/>
          <w:sz w:val="19"/>
        </w:rPr>
        <w:t xml:space="preserve">4  </w:t>
      </w:r>
      <w:hyperlink r:id="rId13">
        <w:r>
          <w:rPr>
            <w:color w:val="1B2C4B"/>
            <w:u w:val="single"/>
            <w:sz w:val="19"/>
          </w:rPr>
          <w:t>New Hampshire Fiscal Policy Institute on school funding capacity</w:t>
        </w:r>
      </w:hyperlink>
    </w:p>
    <w:sectPr w:rsidR="00FC693F" w:rsidRPr="0006063C" w:rsidSect="00034616">
      <w:footerReference w:type="default" r:id="rId9"/>
      <w:pgSz w:w="12240" w:h="15840"/>
      <w:pgMar w:top="691" w:right="835" w:bottom="691" w:left="835"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color w:val="656F7E"/>
        <w:sz w:val="14"/>
      </w:rPr>
      <w:t>THE STATE LEDGER  •  STATE-LEDGER.ORG  •  CURRENT AS OF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623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education.nh.gov/who-we-are/division-of-educator-and-analytic-resources/bureau-of-education-statistics/financial-reports" TargetMode="External"/><Relationship Id="rId11" Type="http://schemas.openxmlformats.org/officeDocument/2006/relationships/hyperlink" Target="https://www.revenue.nh.gov/sites/g/files/ehbemt736/files/documents/2025-municipal-and-village-district-tax-rates.xlsx" TargetMode="External"/><Relationship Id="rId12" Type="http://schemas.openxmlformats.org/officeDocument/2006/relationships/hyperlink" Target="https://www.education.nh.gov/sites/g/files/ehbemt326/files/inline-documents/sonh/eqprt23_0.pdf" TargetMode="External"/><Relationship Id="rId13" Type="http://schemas.openxmlformats.org/officeDocument/2006/relationships/hyperlink" Target="https://nhfpi.org/resource/why-adequate-education-aid-varies-by-commu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