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656F7E"/>
          <w:sz w:val="17"/>
        </w:rPr>
        <w:t>PLAIN LANGUAGE REFERENCE</w:t>
      </w:r>
    </w:p>
    <w:p>
      <w:pPr>
        <w:pStyle w:val="Title"/>
        <w:spacing w:after="8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Georgia" w:hAnsi="Georgia"/>
          <w:b/>
          <w:color w:val="16233A"/>
          <w:sz w:val="50"/>
        </w:rPr>
        <w:t>New Hampshire Housing Affordability</w:t>
      </w:r>
    </w:p>
    <w:p>
      <w:pPr>
        <w:spacing w:after="220"/>
      </w:pPr>
      <w:r>
        <w:rPr>
          <w:rFonts w:ascii="Georgia" w:hAnsi="Georgia"/>
          <w:color w:val="3E4B5E"/>
          <w:sz w:val="22"/>
        </w:rPr>
        <w:t>How prices rents incomes financing supply and local rules combine to shape housing costs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8"/>
            <w:vAlign w:val="center"/>
            <w:shd w:fill="EAF1F6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125" w:type="dxa"/>
              <w:start w:w="110" w:type="dxa"/>
              <w:bottom w:w="115" w:type="dxa"/>
              <w:end w:w="110" w:type="dxa"/>
            </w:tcMar>
          </w:tcPr>
          <w:p>
            <w:pPr>
              <w:spacing w:after="60"/>
              <w:jc w:val="center"/>
            </w:pPr>
            <w:r>
              <w:rPr>
                <w:rFonts w:ascii="Aptos" w:hAnsi="Aptos"/>
                <w:b/>
                <w:color w:val="16233A"/>
                <w:sz w:val="30"/>
              </w:rPr>
              <w:t>$565,000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color w:val="3E4B5E"/>
                <w:sz w:val="17"/>
              </w:rPr>
              <w:t>Median single family sale price in June 2025</w:t>
            </w:r>
          </w:p>
        </w:tc>
        <w:tc>
          <w:tcPr>
            <w:tcW w:type="dxa" w:w="3528"/>
            <w:vAlign w:val="center"/>
            <w:shd w:fill="EAF1F6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125" w:type="dxa"/>
              <w:start w:w="110" w:type="dxa"/>
              <w:bottom w:w="115" w:type="dxa"/>
              <w:end w:w="110" w:type="dxa"/>
            </w:tcMar>
          </w:tcPr>
          <w:p>
            <w:pPr>
              <w:spacing w:after="60"/>
              <w:jc w:val="center"/>
            </w:pPr>
            <w:r>
              <w:rPr>
                <w:rFonts w:ascii="Aptos" w:hAnsi="Aptos"/>
                <w:b/>
                <w:color w:val="16233A"/>
                <w:sz w:val="30"/>
              </w:rPr>
              <w:t>15%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color w:val="3E4B5E"/>
                <w:sz w:val="17"/>
              </w:rPr>
              <w:t>Estimated share of households able to afford the median priced home under 2025 assumptions</w:t>
            </w:r>
          </w:p>
        </w:tc>
        <w:tc>
          <w:tcPr>
            <w:tcW w:type="dxa" w:w="3528"/>
            <w:vAlign w:val="center"/>
            <w:shd w:fill="EAF1F6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125" w:type="dxa"/>
              <w:start w:w="110" w:type="dxa"/>
              <w:bottom w:w="115" w:type="dxa"/>
              <w:end w:w="110" w:type="dxa"/>
            </w:tcMar>
          </w:tcPr>
          <w:p>
            <w:pPr>
              <w:spacing w:after="60"/>
              <w:jc w:val="center"/>
            </w:pPr>
            <w:r>
              <w:rPr>
                <w:rFonts w:ascii="Aptos" w:hAnsi="Aptos"/>
                <w:b/>
                <w:color w:val="16233A"/>
                <w:sz w:val="30"/>
              </w:rPr>
              <w:t>About 51%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color w:val="3E4B5E"/>
                <w:sz w:val="17"/>
              </w:rPr>
              <w:t>Share of renter households paying more than 30 percent of income toward housing</w:t>
            </w:r>
          </w:p>
        </w:tc>
      </w:tr>
    </w:tbl>
    <w:p>
      <w:pPr>
        <w:pStyle w:val="Heading1"/>
        <w:spacing w:before="140" w:after="80"/>
        <w:keepNext/>
      </w:pPr>
      <w:r>
        <w:rPr>
          <w:rFonts w:ascii="Georgia" w:hAnsi="Georgia"/>
          <w:b/>
          <w:color w:val="16233A"/>
          <w:sz w:val="32"/>
        </w:rPr>
        <w:t>Affordability is a relationship</w:t>
      </w:r>
    </w:p>
    <w:p>
      <w:pPr>
        <w:spacing w:after="120" w:line="259" w:lineRule="auto"/>
      </w:pPr>
      <w:r>
        <w:rPr>
          <w:rFonts w:ascii="Aptos" w:hAnsi="Aptos"/>
          <w:b w:val="0"/>
          <w:color w:val="16233A"/>
          <w:sz w:val="20"/>
        </w:rPr>
        <w:t>A home is affordable only in relation to a household's income, down payment, interest rate, taxes, insurance, utilities, and other debts. A lower sticker price can still be unaffordable at a high mortgage rate. A higher income can improve purchasing power without creating more available homes. No single number captures the full market.</w:t>
      </w:r>
    </w:p>
    <w:p>
      <w:pPr>
        <w:pStyle w:val="Heading2"/>
        <w:spacing w:before="100" w:after="80"/>
        <w:keepNext/>
      </w:pPr>
      <w:r>
        <w:rPr>
          <w:rFonts w:ascii="Georgia" w:hAnsi="Georgia"/>
          <w:b/>
          <w:color w:val="16233A"/>
          <w:sz w:val="25"/>
        </w:rPr>
        <w:t>Why costs rose</w:t>
      </w:r>
    </w:p>
    <w:p>
      <w:pPr>
        <w:pStyle w:val="ListBullet"/>
        <w:spacing w:after="80" w:line="252" w:lineRule="auto"/>
        <w:ind w:left="346" w:hanging="230"/>
      </w:pPr>
      <w:r>
        <w:rPr>
          <w:rFonts w:ascii="Aptos" w:hAnsi="Aptos"/>
          <w:b w:val="0"/>
          <w:color w:val="16233A"/>
          <w:sz w:val="20"/>
        </w:rPr>
        <w:t>New Hampshire entered the pandemic with a long-running supply shortage and low vacancy rates.</w:t>
      </w:r>
    </w:p>
    <w:p>
      <w:pPr>
        <w:pStyle w:val="ListBullet"/>
        <w:spacing w:after="80" w:line="252" w:lineRule="auto"/>
        <w:ind w:left="346" w:hanging="230"/>
      </w:pPr>
      <w:r>
        <w:rPr>
          <w:rFonts w:ascii="Aptos" w:hAnsi="Aptos"/>
          <w:b w:val="0"/>
          <w:color w:val="16233A"/>
          <w:sz w:val="20"/>
        </w:rPr>
        <w:t>Pandemic-era demand, construction costs, land and infrastructure constraints, and years of local zoning limits added pressure.</w:t>
      </w:r>
    </w:p>
    <w:p>
      <w:pPr>
        <w:pStyle w:val="ListBullet"/>
        <w:spacing w:after="80" w:line="252" w:lineRule="auto"/>
        <w:ind w:left="346" w:hanging="230"/>
      </w:pPr>
      <w:r>
        <w:rPr>
          <w:rFonts w:ascii="Aptos" w:hAnsi="Aptos"/>
          <w:b w:val="0"/>
          <w:color w:val="16233A"/>
          <w:sz w:val="20"/>
        </w:rPr>
        <w:t>Higher mortgage rates reduced purchasing power even when price growth slowed.</w:t>
      </w:r>
    </w:p>
    <w:p>
      <w:pPr>
        <w:pStyle w:val="Heading2"/>
        <w:spacing w:before="100" w:after="80"/>
        <w:keepNext/>
      </w:pPr>
      <w:r>
        <w:rPr>
          <w:rFonts w:ascii="Georgia" w:hAnsi="Georgia"/>
          <w:b/>
          <w:color w:val="16233A"/>
          <w:sz w:val="25"/>
        </w:rPr>
        <w:t>What supply reform can do</w:t>
      </w:r>
    </w:p>
    <w:p>
      <w:pPr>
        <w:pStyle w:val="ListBullet"/>
        <w:spacing w:after="80" w:line="252" w:lineRule="auto"/>
        <w:ind w:left="346" w:hanging="230"/>
      </w:pPr>
      <w:r>
        <w:rPr>
          <w:rFonts w:ascii="Aptos" w:hAnsi="Aptos"/>
          <w:b w:val="0"/>
          <w:color w:val="16233A"/>
          <w:sz w:val="20"/>
        </w:rPr>
        <w:t>Allowing detached accessory dwelling units, multifamily housing in some commercial zones, smaller lots, conversions, and faster permitting can expand the range of homes that may be built.</w:t>
      </w:r>
    </w:p>
    <w:p>
      <w:pPr>
        <w:pStyle w:val="ListBullet"/>
        <w:spacing w:after="80" w:line="252" w:lineRule="auto"/>
        <w:ind w:left="346" w:hanging="230"/>
      </w:pPr>
      <w:r>
        <w:rPr>
          <w:rFonts w:ascii="Aptos" w:hAnsi="Aptos"/>
          <w:b w:val="0"/>
          <w:color w:val="16233A"/>
          <w:sz w:val="20"/>
        </w:rPr>
        <w:t>Reform changes what is legally possible. Actual production still depends on financing, infrastructure, labor, materials, land, and market demand.</w:t>
      </w:r>
    </w:p>
    <w:p>
      <w:pPr>
        <w:pStyle w:val="ListBullet"/>
        <w:spacing w:after="80" w:line="252" w:lineRule="auto"/>
        <w:ind w:left="346" w:hanging="230"/>
      </w:pPr>
      <w:r>
        <w:rPr>
          <w:rFonts w:ascii="Aptos" w:hAnsi="Aptos"/>
          <w:b w:val="0"/>
          <w:color w:val="16233A"/>
          <w:sz w:val="20"/>
        </w:rPr>
        <w:t>A reform may slow rent or price growth over time without causing nominal prices to fall.</w:t>
      </w:r>
    </w:p>
    <w:p>
      <w:pPr>
        <w:pStyle w:val="Heading2"/>
        <w:spacing w:before="100" w:after="80"/>
        <w:keepNext/>
      </w:pPr>
      <w:r>
        <w:rPr>
          <w:rFonts w:ascii="Georgia" w:hAnsi="Georgia"/>
          <w:b/>
          <w:color w:val="16233A"/>
          <w:sz w:val="25"/>
        </w:rPr>
        <w:t>Use the terms precisely</w:t>
      </w:r>
    </w:p>
    <w:p>
      <w:pPr>
        <w:pStyle w:val="ListBullet"/>
        <w:spacing w:after="80" w:line="252" w:lineRule="auto"/>
        <w:ind w:left="346" w:hanging="230"/>
      </w:pPr>
      <w:r>
        <w:rPr>
          <w:rFonts w:ascii="Aptos" w:hAnsi="Aptos"/>
          <w:b w:val="0"/>
          <w:color w:val="16233A"/>
          <w:sz w:val="20"/>
        </w:rPr>
        <w:t>Subsidized housing uses public support or legal restrictions. Market rate housing does not mean it is affordable to every household.</w:t>
      </w:r>
    </w:p>
    <w:p>
      <w:pPr>
        <w:pStyle w:val="ListBullet"/>
        <w:spacing w:after="80" w:line="252" w:lineRule="auto"/>
        <w:ind w:left="346" w:hanging="230"/>
      </w:pPr>
      <w:r>
        <w:rPr>
          <w:rFonts w:ascii="Aptos" w:hAnsi="Aptos"/>
          <w:b w:val="0"/>
          <w:color w:val="16233A"/>
          <w:sz w:val="20"/>
        </w:rPr>
        <w:t>Workforce housing is a defined category in New Hampshire law. It is not a guarantee that a particular worker can afford a particular unit.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656F7E"/>
          <w:sz w:val="17"/>
        </w:rPr>
        <w:t>PAGE 2</w:t>
      </w:r>
    </w:p>
    <w:p>
      <w:pPr>
        <w:pStyle w:val="Title"/>
        <w:spacing w:after="8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Georgia" w:hAnsi="Georgia"/>
          <w:b/>
          <w:color w:val="16233A"/>
          <w:sz w:val="50"/>
        </w:rPr>
        <w:t>Claims and the complete picture</w:t>
      </w:r>
    </w:p>
    <w:p>
      <w:pPr>
        <w:spacing w:after="220"/>
      </w:pPr>
      <w:r>
        <w:rPr>
          <w:rFonts w:ascii="Georgia" w:hAnsi="Georgia"/>
          <w:color w:val="3E4B5E"/>
          <w:sz w:val="22"/>
        </w:rPr>
        <w:t>Separate a useful policy direction from promises that the evidence cannot yet support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1B2C4B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2"/>
              </w:rPr>
              <w:t>Rising home prices make homeowners richer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true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Owners gain equity when the market value of their home rises.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F7F8FA"/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missing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The gain is usually illiquid until a sale or loan. Taxes, insurance, maintenance, and the cost of a replacement home can also rise. New buyers and renters do not receive the same benefit.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Ask  </w:t>
            </w:r>
            <w:r>
              <w:rPr>
                <w:rFonts w:ascii="Aptos" w:hAnsi="Aptos"/>
                <w:b w:val="0"/>
                <w:color w:val="3E4B5E"/>
                <w:sz w:val="19"/>
              </w:rPr>
              <w:t>Who owns without moving who needs to buy and who is renting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1B2C4B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2"/>
              </w:rPr>
              <w:t>Build more and prices will fall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true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More supply generally reduces scarcity and can moderate rent and price pressure over time.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F7F8FA"/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missing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The result depends on location, housing type, construction cost, financing, and the scale and pace of production. Prices may grow more slowly rather than fall.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Ask  </w:t>
            </w:r>
            <w:r>
              <w:rPr>
                <w:rFonts w:ascii="Aptos" w:hAnsi="Aptos"/>
                <w:b w:val="0"/>
                <w:color w:val="3E4B5E"/>
                <w:sz w:val="19"/>
              </w:rPr>
              <w:t>How many units of what type will be added where and when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1B2C4B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2"/>
              </w:rPr>
              <w:t>Zoning reform solves affordability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true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Zoning reform can remove legal barriers to smaller homes, added units, and reuse of existing property.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F7F8FA"/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missing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Infrastructure capacity, permitting administration, land, labor, materials, insurance, and credit remain. Reform is an enabling condition, not a completed housing unit.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Ask  </w:t>
            </w:r>
            <w:r>
              <w:rPr>
                <w:rFonts w:ascii="Aptos" w:hAnsi="Aptos"/>
                <w:b w:val="0"/>
                <w:color w:val="3E4B5E"/>
                <w:sz w:val="19"/>
              </w:rPr>
              <w:t>What nonzoning constraints remain after the rule changes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656F7E"/>
          <w:sz w:val="17"/>
        </w:rPr>
        <w:t>PAGE 3</w:t>
      </w:r>
    </w:p>
    <w:p>
      <w:pPr>
        <w:pStyle w:val="Title"/>
        <w:spacing w:after="8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Georgia" w:hAnsi="Georgia"/>
          <w:b/>
          <w:color w:val="16233A"/>
          <w:sz w:val="50"/>
        </w:rPr>
        <w:t>Claims and the complete picture</w:t>
      </w:r>
    </w:p>
    <w:p>
      <w:pPr>
        <w:spacing w:after="220"/>
      </w:pPr>
      <w:r>
        <w:rPr>
          <w:rFonts w:ascii="Georgia" w:hAnsi="Georgia"/>
          <w:color w:val="3E4B5E"/>
          <w:sz w:val="22"/>
        </w:rPr>
        <w:t>Separate a useful policy direction from promises that the evidence cannot yet support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1B2C4B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2"/>
              </w:rPr>
              <w:t>Affordable housing means subsidized housing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true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Public subsidy and deed restrictions are important tools for reaching households the market does not serve.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F7F8FA"/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missing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Affordability also describes whether any rent or ownership cost fits a household budget. An unsubsidized unit can be affordable, and a market rate label says nothing about a specific household.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Ask  </w:t>
            </w:r>
            <w:r>
              <w:rPr>
                <w:rFonts w:ascii="Aptos" w:hAnsi="Aptos"/>
                <w:b w:val="0"/>
                <w:color w:val="3E4B5E"/>
                <w:sz w:val="19"/>
              </w:rPr>
              <w:t>Affordable to whom at what income and with what financing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1B2C4B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2"/>
              </w:rPr>
              <w:t>Property taxes caused the housing crisis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true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Property taxes are part of the monthly cost of owning and can affect rent through landlord expenses.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F7F8FA"/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missing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Sale price, mortgage rate, insurance, wages, vacancy, construction cost, supply, and household debt also matter. The crisis cannot be assigned to one bill component.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Ask  </w:t>
            </w:r>
            <w:r>
              <w:rPr>
                <w:rFonts w:ascii="Aptos" w:hAnsi="Aptos"/>
                <w:b w:val="0"/>
                <w:color w:val="3E4B5E"/>
                <w:sz w:val="19"/>
              </w:rPr>
              <w:t>What share of the affordability gap comes from each cost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1B2C4B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2"/>
              </w:rPr>
              <w:t>Recent state reforms caused or solved the crisis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true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The 2025 package made meaningful supply side changes, including detached accessory dwelling units by right and faster approval tools.</w:t>
            </w:r>
          </w:p>
        </w:tc>
      </w:tr>
      <w:tr>
        <w:tc>
          <w:tcPr>
            <w:tcW w:type="dxa" w:w="10584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0" w:type="dxa"/>
              <w:start w:w="125" w:type="dxa"/>
              <w:bottom w:w="85" w:type="dxa"/>
              <w:end w:w="125" w:type="dxa"/>
            </w:tcMar>
            <w:shd w:fill="F7F8FA"/>
          </w:tcPr>
          <w:p>
            <w:pPr>
              <w:spacing w:after="4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What is missing  </w:t>
            </w:r>
            <w:r>
              <w:rPr>
                <w:rFonts w:ascii="Aptos" w:hAnsi="Aptos"/>
                <w:b w:val="0"/>
                <w:color w:val="16233A"/>
                <w:sz w:val="19"/>
              </w:rPr>
              <w:t>The shortage developed over decades, and the reforms are too recent for a credible verdict on market outcomes. Permits, starts, completions, rents, and prices must be tracked over time.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16233A"/>
                <w:sz w:val="19"/>
              </w:rPr>
              <w:t xml:space="preserve">Ask  </w:t>
            </w:r>
            <w:r>
              <w:rPr>
                <w:rFonts w:ascii="Aptos" w:hAnsi="Aptos"/>
                <w:b w:val="0"/>
                <w:color w:val="3E4B5E"/>
                <w:sz w:val="19"/>
              </w:rPr>
              <w:t>What changed after enactment and is there enough time and data to measure it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656F7E"/>
          <w:sz w:val="17"/>
        </w:rPr>
        <w:t>USE THE NUMBERS CAREFULLY</w:t>
      </w:r>
    </w:p>
    <w:p>
      <w:pPr>
        <w:pStyle w:val="Title"/>
        <w:spacing w:after="8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Georgia" w:hAnsi="Georgia"/>
          <w:b/>
          <w:color w:val="16233A"/>
          <w:sz w:val="50"/>
        </w:rPr>
        <w:t>The effect depends on the household</w:t>
      </w:r>
    </w:p>
    <w:p>
      <w:pPr>
        <w:spacing w:after="220"/>
      </w:pPr>
      <w:r>
        <w:rPr>
          <w:rFonts w:ascii="Georgia" w:hAnsi="Georgia"/>
          <w:color w:val="3E4B5E"/>
          <w:sz w:val="22"/>
        </w:rPr>
        <w:t>The same market movement can create gains for one group and hardship for another</w:t>
      </w:r>
    </w:p>
    <w:p>
      <w:pPr>
        <w:pStyle w:val="Heading1"/>
        <w:spacing w:before="140" w:after="80"/>
        <w:keepNext/>
      </w:pPr>
      <w:r>
        <w:rPr>
          <w:rFonts w:ascii="Georgia" w:hAnsi="Georgia"/>
          <w:b/>
          <w:color w:val="16233A"/>
          <w:sz w:val="32"/>
        </w:rPr>
        <w:t>Who experiences what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rPr>
          <w:tblHeader w:val="true"/>
        </w:trPr>
        <w:tc>
          <w:tcPr>
            <w:tcW w:type="dxa" w:w="2088"/>
            <w:shd w:fill="1B2C4B"/>
            <w:tcBorders>
              <w:top w:val="single" w:sz="5" w:color="1B2C4B"/>
              <w:left w:val="single" w:sz="5" w:color="1B2C4B"/>
              <w:bottom w:val="single" w:sz="5" w:color="1B2C4B"/>
              <w:right w:val="single" w:sz="5" w:color="1B2C4B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Group</w:t>
            </w:r>
          </w:p>
        </w:tc>
        <w:tc>
          <w:tcPr>
            <w:tcW w:type="dxa" w:w="3960"/>
            <w:shd w:fill="1B2C4B"/>
            <w:tcBorders>
              <w:top w:val="single" w:sz="5" w:color="1B2C4B"/>
              <w:left w:val="single" w:sz="5" w:color="1B2C4B"/>
              <w:bottom w:val="single" w:sz="5" w:color="1B2C4B"/>
              <w:right w:val="single" w:sz="5" w:color="1B2C4B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Possible benefit</w:t>
            </w:r>
          </w:p>
        </w:tc>
        <w:tc>
          <w:tcPr>
            <w:tcW w:type="dxa" w:w="4536"/>
            <w:shd w:fill="1B2C4B"/>
            <w:tcBorders>
              <w:top w:val="single" w:sz="5" w:color="1B2C4B"/>
              <w:left w:val="single" w:sz="5" w:color="1B2C4B"/>
              <w:bottom w:val="single" w:sz="5" w:color="1B2C4B"/>
              <w:right w:val="single" w:sz="5" w:color="1B2C4B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Primary pressure</w:t>
            </w:r>
          </w:p>
        </w:tc>
      </w:tr>
      <w:tr>
        <w:tc>
          <w:tcPr>
            <w:tcW w:type="dxa" w:w="2088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Existing owners</w:t>
            </w:r>
          </w:p>
        </w:tc>
        <w:tc>
          <w:tcPr>
            <w:tcW w:type="dxa" w:w="3960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Higher equity and sale value</w:t>
            </w:r>
          </w:p>
        </w:tc>
        <w:tc>
          <w:tcPr>
            <w:tcW w:type="dxa" w:w="4536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Taxes insurance upkeep and replacement cost</w:t>
            </w:r>
          </w:p>
        </w:tc>
      </w:tr>
      <w:tr>
        <w:tc>
          <w:tcPr>
            <w:tcW w:type="dxa" w:w="2088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shd w:fill="F7F8FA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First time buyers</w:t>
            </w:r>
          </w:p>
        </w:tc>
        <w:tc>
          <w:tcPr>
            <w:tcW w:type="dxa" w:w="3960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shd w:fill="F7F8FA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More choices if supply expands</w:t>
            </w:r>
          </w:p>
        </w:tc>
        <w:tc>
          <w:tcPr>
            <w:tcW w:type="dxa" w:w="4536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shd w:fill="F7F8FA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Price down payment rate and qualification</w:t>
            </w:r>
          </w:p>
        </w:tc>
      </w:tr>
      <w:tr>
        <w:tc>
          <w:tcPr>
            <w:tcW w:type="dxa" w:w="2088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Renters</w:t>
            </w:r>
          </w:p>
        </w:tc>
        <w:tc>
          <w:tcPr>
            <w:tcW w:type="dxa" w:w="3960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New units can ease competition</w:t>
            </w:r>
          </w:p>
        </w:tc>
        <w:tc>
          <w:tcPr>
            <w:tcW w:type="dxa" w:w="4536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Low vacancy rent growth fees and moving cost</w:t>
            </w:r>
          </w:p>
        </w:tc>
      </w:tr>
      <w:tr>
        <w:tc>
          <w:tcPr>
            <w:tcW w:type="dxa" w:w="2088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shd w:fill="F7F8FA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Older residents</w:t>
            </w:r>
          </w:p>
        </w:tc>
        <w:tc>
          <w:tcPr>
            <w:tcW w:type="dxa" w:w="3960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shd w:fill="F7F8FA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ADUs and smaller homes can add options</w:t>
            </w:r>
          </w:p>
        </w:tc>
        <w:tc>
          <w:tcPr>
            <w:tcW w:type="dxa" w:w="4536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shd w:fill="F7F8FA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Fixed income accessibility and local availability</w:t>
            </w:r>
          </w:p>
        </w:tc>
      </w:tr>
      <w:tr>
        <w:tc>
          <w:tcPr>
            <w:tcW w:type="dxa" w:w="2088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Employers</w:t>
            </w:r>
          </w:p>
        </w:tc>
        <w:tc>
          <w:tcPr>
            <w:tcW w:type="dxa" w:w="3960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More nearby homes can aid recruitment</w:t>
            </w:r>
          </w:p>
        </w:tc>
        <w:tc>
          <w:tcPr>
            <w:tcW w:type="dxa" w:w="4536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Worker shortages and longer commutes</w:t>
            </w:r>
          </w:p>
        </w:tc>
      </w:tr>
      <w:tr>
        <w:tc>
          <w:tcPr>
            <w:tcW w:type="dxa" w:w="2088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shd w:fill="F7F8FA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Municipalities</w:t>
            </w:r>
          </w:p>
        </w:tc>
        <w:tc>
          <w:tcPr>
            <w:tcW w:type="dxa" w:w="3960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shd w:fill="F7F8FA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Tax base and community continuity</w:t>
            </w:r>
          </w:p>
        </w:tc>
        <w:tc>
          <w:tcPr>
            <w:tcW w:type="dxa" w:w="4536"/>
            <w:tcBorders>
              <w:top w:val="single" w:sz="5" w:color="D7DDE3"/>
              <w:left w:val="single" w:sz="5" w:color="D7DDE3"/>
              <w:bottom w:val="single" w:sz="5" w:color="D7DDE3"/>
              <w:right w:val="single" w:sz="5" w:color="D7DDE3"/>
            </w:tcBorders>
            <w:shd w:fill="F7F8FA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233A"/>
                <w:sz w:val="18"/>
              </w:rPr>
              <w:t>Infrastructure schools services and planning</w:t>
            </w:r>
          </w:p>
        </w:tc>
      </w:tr>
    </w:tbl>
    <w:p>
      <w:pPr>
        <w:pStyle w:val="Heading2"/>
        <w:spacing w:before="100" w:after="80"/>
        <w:keepNext/>
      </w:pPr>
      <w:r>
        <w:rPr>
          <w:rFonts w:ascii="Georgia" w:hAnsi="Georgia"/>
          <w:b/>
          <w:color w:val="16233A"/>
          <w:sz w:val="25"/>
        </w:rPr>
        <w:t>Judge a proposal by the bottleneck</w:t>
      </w:r>
    </w:p>
    <w:p>
      <w:pPr>
        <w:spacing w:after="80" w:line="259" w:lineRule="auto"/>
      </w:pPr>
      <w:r>
        <w:rPr>
          <w:rFonts w:ascii="Aptos" w:hAnsi="Aptos"/>
          <w:b w:val="0"/>
          <w:color w:val="16233A"/>
          <w:sz w:val="19"/>
        </w:rPr>
        <w:t>Smaller permanent homes, accessory units, manufactured housing, cottage or cluster development, and commercial conversions can broaden the range of options. A specific retail price target should be treated as a hypothesis until land, infrastructure, financing, labor, fees, and profit are modeled.</w:t>
      </w:r>
    </w:p>
    <w:p>
      <w:pPr>
        <w:pStyle w:val="Heading2"/>
        <w:spacing w:before="100" w:after="80"/>
        <w:keepNext/>
      </w:pPr>
      <w:r>
        <w:rPr>
          <w:rFonts w:ascii="Georgia" w:hAnsi="Georgia"/>
          <w:b/>
          <w:color w:val="16233A"/>
          <w:sz w:val="25"/>
        </w:rPr>
        <w:t>Questions to ask</w:t>
      </w:r>
    </w:p>
    <w:p>
      <w:pPr>
        <w:pStyle w:val="ListBullet"/>
        <w:spacing w:after="40" w:line="252" w:lineRule="auto"/>
        <w:ind w:left="346" w:hanging="230"/>
      </w:pPr>
      <w:r>
        <w:rPr>
          <w:rFonts w:ascii="Aptos" w:hAnsi="Aptos"/>
          <w:b w:val="0"/>
          <w:color w:val="16233A"/>
          <w:sz w:val="19"/>
        </w:rPr>
        <w:t>Is the claim about sale price rent or total monthly cost</w:t>
      </w:r>
    </w:p>
    <w:p>
      <w:pPr>
        <w:pStyle w:val="ListBullet"/>
        <w:spacing w:after="40" w:line="252" w:lineRule="auto"/>
        <w:ind w:left="346" w:hanging="230"/>
      </w:pPr>
      <w:r>
        <w:rPr>
          <w:rFonts w:ascii="Aptos" w:hAnsi="Aptos"/>
          <w:b w:val="0"/>
          <w:color w:val="16233A"/>
          <w:sz w:val="19"/>
        </w:rPr>
        <w:t>Which income level and household type can afford the unit</w:t>
      </w:r>
    </w:p>
    <w:p>
      <w:pPr>
        <w:pStyle w:val="ListBullet"/>
        <w:spacing w:after="40" w:line="252" w:lineRule="auto"/>
        <w:ind w:left="346" w:hanging="230"/>
      </w:pPr>
      <w:r>
        <w:rPr>
          <w:rFonts w:ascii="Aptos" w:hAnsi="Aptos"/>
          <w:b w:val="0"/>
          <w:color w:val="16233A"/>
          <w:sz w:val="19"/>
        </w:rPr>
        <w:t>Does the proposal create legal capacity permits starts or completed homes</w:t>
      </w:r>
    </w:p>
    <w:p>
      <w:pPr>
        <w:pStyle w:val="ListBullet"/>
        <w:spacing w:after="40" w:line="252" w:lineRule="auto"/>
        <w:ind w:left="346" w:hanging="230"/>
      </w:pPr>
      <w:r>
        <w:rPr>
          <w:rFonts w:ascii="Aptos" w:hAnsi="Aptos"/>
          <w:b w:val="0"/>
          <w:color w:val="16233A"/>
          <w:sz w:val="19"/>
        </w:rPr>
        <w:t>Who benefits who pays and how long should the effect take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656F7E"/>
          <w:sz w:val="17"/>
        </w:rPr>
        <w:t>PAGE 5</w:t>
      </w:r>
    </w:p>
    <w:p>
      <w:pPr>
        <w:pStyle w:val="Title"/>
        <w:spacing w:after="8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Georgia" w:hAnsi="Georgia"/>
          <w:b/>
          <w:color w:val="16233A"/>
          <w:sz w:val="50"/>
        </w:rPr>
        <w:t>Sources and reading notes</w:t>
      </w:r>
    </w:p>
    <w:p>
      <w:pPr>
        <w:spacing w:after="220"/>
      </w:pPr>
      <w:r>
        <w:rPr>
          <w:rFonts w:ascii="Georgia" w:hAnsi="Georgia"/>
          <w:color w:val="3E4B5E"/>
          <w:sz w:val="22"/>
        </w:rPr>
        <w:t>Primary records and explanatory sources used in this guide</w:t>
      </w:r>
    </w:p>
    <w:p>
      <w:pPr>
        <w:pStyle w:val="Heading1"/>
        <w:spacing w:before="140" w:after="80"/>
        <w:keepNext/>
      </w:pPr>
      <w:r>
        <w:rPr>
          <w:rFonts w:ascii="Georgia" w:hAnsi="Georgia"/>
          <w:b/>
          <w:color w:val="16233A"/>
          <w:sz w:val="32"/>
        </w:rPr>
        <w:t>How to read the evidence</w:t>
      </w:r>
    </w:p>
    <w:p>
      <w:pPr>
        <w:spacing w:after="200" w:line="259" w:lineRule="auto"/>
      </w:pPr>
      <w:r>
        <w:rPr>
          <w:rFonts w:ascii="Aptos" w:hAnsi="Aptos"/>
          <w:b w:val="0"/>
          <w:color w:val="16233A"/>
          <w:sz w:val="20"/>
        </w:rPr>
        <w:t>Figures use the period named beside each number. Different years are not combined into a single causal calculation. A statewide total does not establish what happened in every municipality, and a correlation does not prove that one policy caused the result.</w:t>
      </w:r>
    </w:p>
    <w:p>
      <w:pPr>
        <w:pStyle w:val="Heading1"/>
        <w:spacing w:before="140" w:after="80"/>
        <w:keepNext/>
      </w:pPr>
      <w:r>
        <w:rPr>
          <w:rFonts w:ascii="Georgia" w:hAnsi="Georgia"/>
          <w:b/>
          <w:color w:val="16233A"/>
          <w:sz w:val="32"/>
        </w:rPr>
        <w:t>Sources</w:t>
      </w:r>
    </w:p>
    <w:p>
      <w:pPr>
        <w:spacing w:after="140"/>
      </w:pPr>
      <w:r>
        <w:rPr>
          <w:rFonts w:ascii="Aptos" w:hAnsi="Aptos"/>
          <w:b/>
          <w:color w:val="656F7E"/>
          <w:sz w:val="19"/>
        </w:rPr>
        <w:t xml:space="preserve">1  </w:t>
      </w:r>
      <w:hyperlink r:id="rId10">
        <w:r>
          <w:rPr>
            <w:color w:val="1B2C4B"/>
            <w:u w:val="single"/>
            <w:sz w:val="19"/>
          </w:rPr>
          <w:t>New Hampshire Housing affordability research</w:t>
        </w:r>
      </w:hyperlink>
    </w:p>
    <w:p>
      <w:pPr>
        <w:spacing w:after="140"/>
      </w:pPr>
      <w:r>
        <w:rPr>
          <w:rFonts w:ascii="Aptos" w:hAnsi="Aptos"/>
          <w:b/>
          <w:color w:val="656F7E"/>
          <w:sz w:val="19"/>
        </w:rPr>
        <w:t xml:space="preserve">2  </w:t>
      </w:r>
      <w:hyperlink r:id="rId11">
        <w:r>
          <w:rPr>
            <w:color w:val="1B2C4B"/>
            <w:u w:val="single"/>
            <w:sz w:val="19"/>
          </w:rPr>
          <w:t>New Hampshire Public Radio on the 2025 housing package</w:t>
        </w:r>
      </w:hyperlink>
    </w:p>
    <w:p>
      <w:pPr>
        <w:spacing w:after="140"/>
      </w:pPr>
      <w:r>
        <w:rPr>
          <w:rFonts w:ascii="Aptos" w:hAnsi="Aptos"/>
          <w:b/>
          <w:color w:val="656F7E"/>
          <w:sz w:val="19"/>
        </w:rPr>
        <w:t xml:space="preserve">3  </w:t>
      </w:r>
      <w:hyperlink r:id="rId12">
        <w:r>
          <w:rPr>
            <w:color w:val="1B2C4B"/>
            <w:u w:val="single"/>
            <w:sz w:val="19"/>
          </w:rPr>
          <w:t>New Hampshire Public Radio on implementation of new housing laws</w:t>
        </w:r>
      </w:hyperlink>
    </w:p>
    <w:p>
      <w:pPr>
        <w:spacing w:after="140"/>
      </w:pPr>
      <w:r>
        <w:rPr>
          <w:rFonts w:ascii="Aptos" w:hAnsi="Aptos"/>
          <w:b/>
          <w:color w:val="656F7E"/>
          <w:sz w:val="19"/>
        </w:rPr>
        <w:t xml:space="preserve">4  </w:t>
      </w:r>
      <w:hyperlink r:id="rId13">
        <w:r>
          <w:rPr>
            <w:color w:val="1B2C4B"/>
            <w:u w:val="single"/>
            <w:sz w:val="19"/>
          </w:rPr>
          <w:t>New Hampshire General Court adopted text of House Bill 577</w:t>
        </w:r>
      </w:hyperlink>
    </w:p>
    <w:sectPr w:rsidR="00FC693F" w:rsidRPr="0006063C" w:rsidSect="00034616">
      <w:footerReference w:type="default" r:id="rId9"/>
      <w:pgSz w:w="12240" w:h="15840"/>
      <w:pgMar w:top="691" w:right="835" w:bottom="691" w:left="835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56F7E"/>
        <w:sz w:val="14"/>
      </w:rPr>
      <w:t>THE STATE LEDGER  •  STATE-LEDGER.ORG  •  CURRENT AS OF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623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nhhfa.org/publications-data/housing-market-data/" TargetMode="External"/><Relationship Id="rId11" Type="http://schemas.openxmlformats.org/officeDocument/2006/relationships/hyperlink" Target="https://www.nhpr.org/nh-news/2025-07-24/ayotte-signs-bills-adu-permitting-zoning-affordable-housing-nh" TargetMode="External"/><Relationship Id="rId12" Type="http://schemas.openxmlformats.org/officeDocument/2006/relationships/hyperlink" Target="https://www.nhpr.org/nh-news/2025-09-08/nh-new-housing-laws-shortage-adu-development" TargetMode="External"/><Relationship Id="rId13" Type="http://schemas.openxmlformats.org/officeDocument/2006/relationships/hyperlink" Target="https://gc.nh.gov/bill_status/legacy/bs2016/billText.aspx?id=125&amp;sy=2025&amp;v=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