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Aptos" w:hAnsi="Aptos"/>
          <w:b/>
          <w:color w:val="C8891F"/>
          <w:sz w:val="17"/>
        </w:rPr>
        <w:t>PLAIN-LANGUAGE REFERENCE</w:t>
      </w:r>
    </w:p>
    <w:p>
      <w:pPr>
        <w:spacing w:after="80"/>
      </w:pPr>
      <w:r>
        <w:rPr>
          <w:rFonts w:ascii="Georgia" w:hAnsi="Georgia"/>
          <w:b/>
          <w:color w:val="16233A"/>
          <w:sz w:val="46"/>
        </w:rPr>
        <w:t>New Hampshire EFA Cheat Sheet</w:t>
      </w:r>
    </w:p>
    <w:p>
      <w:pPr>
        <w:spacing w:after="200"/>
      </w:pPr>
      <w:r>
        <w:rPr>
          <w:rFonts w:ascii="Georgia" w:hAnsi="Georgia"/>
          <w:color w:val="3F4D63"/>
          <w:sz w:val="21"/>
        </w:rPr>
        <w:t>What Education Freedom Accounts are, how they work, and what the familiar talking points leave out.</w:t>
      </w:r>
    </w:p>
    <w:tbl>
      <w:tblPr>
        <w:tblW w:type="auto" w:w="0"/>
        <w:jc w:val="center"/>
        <w:tblLayout w:type="fixed"/>
        <w:tblLook w:firstColumn="1" w:firstRow="1" w:lastColumn="0" w:lastRow="0" w:noHBand="0" w:noVBand="1" w:val="04A0"/>
      </w:tblPr>
      <w:tblGrid>
        <w:gridCol w:w="3552"/>
        <w:gridCol w:w="3552"/>
        <w:gridCol w:w="3552"/>
      </w:tblGrid>
      <w:tr>
        <w:tc>
          <w:tcPr>
            <w:tcW w:type="dxa" w:w="3485"/>
            <w:vAlign w:val="center"/>
            <w:shd w:fill="EEF3F7"/>
            <w:tcBorders>
              <w:top w:val="single" w:sz="6" w:color="D7E3EC"/>
              <w:left w:val="single" w:sz="6" w:color="D7E3EC"/>
              <w:bottom w:val="single" w:sz="6" w:color="D7E3EC"/>
              <w:right w:val="single" w:sz="6" w:color="D7E3EC"/>
            </w:tcBorders>
            <w:tcMar>
              <w:top w:w="120" w:type="dxa"/>
              <w:start w:w="120" w:type="dxa"/>
              <w:bottom w:w="110" w:type="dxa"/>
              <w:end w:w="120" w:type="dxa"/>
            </w:tcMar>
          </w:tcPr>
          <w:p>
            <w:pPr>
              <w:spacing w:after="40"/>
              <w:jc w:val="center"/>
            </w:pPr>
            <w:r>
              <w:rPr>
                <w:rFonts w:ascii="Georgia" w:hAnsi="Georgia"/>
                <w:b/>
                <w:color w:val="16233A"/>
                <w:sz w:val="30"/>
              </w:rPr>
              <w:t>12,500</w:t>
            </w:r>
          </w:p>
          <w:p>
            <w:pPr>
              <w:spacing w:after="0"/>
              <w:jc w:val="center"/>
            </w:pPr>
            <w:r>
              <w:rPr>
                <w:rFonts w:ascii="Aptos" w:hAnsi="Aptos"/>
                <w:color w:val="3F4D63"/>
                <w:sz w:val="15"/>
              </w:rPr>
              <w:t>2026–27 enrollment cap; it was reached by August 13, 2026.</w:t>
            </w:r>
          </w:p>
        </w:tc>
        <w:tc>
          <w:tcPr>
            <w:tcW w:type="dxa" w:w="3485"/>
            <w:vAlign w:val="center"/>
            <w:shd w:fill="EEF3F7"/>
            <w:tcBorders>
              <w:top w:val="single" w:sz="6" w:color="D7E3EC"/>
              <w:left w:val="single" w:sz="6" w:color="D7E3EC"/>
              <w:bottom w:val="single" w:sz="6" w:color="D7E3EC"/>
              <w:right w:val="single" w:sz="6" w:color="D7E3EC"/>
            </w:tcBorders>
            <w:tcMar>
              <w:top w:w="120" w:type="dxa"/>
              <w:start w:w="120" w:type="dxa"/>
              <w:bottom w:w="110" w:type="dxa"/>
              <w:end w:w="120" w:type="dxa"/>
            </w:tcMar>
          </w:tcPr>
          <w:p>
            <w:pPr>
              <w:spacing w:after="40"/>
              <w:jc w:val="center"/>
            </w:pPr>
            <w:r>
              <w:rPr>
                <w:rFonts w:ascii="Georgia" w:hAnsi="Georgia"/>
                <w:b/>
                <w:color w:val="16233A"/>
                <w:sz w:val="30"/>
              </w:rPr>
              <w:t>No income limit</w:t>
            </w:r>
          </w:p>
          <w:p>
            <w:pPr>
              <w:spacing w:after="0"/>
              <w:jc w:val="center"/>
            </w:pPr>
            <w:r>
              <w:rPr>
                <w:rFonts w:ascii="Aptos" w:hAnsi="Aptos"/>
                <w:color w:val="3F4D63"/>
                <w:sz w:val="15"/>
              </w:rPr>
              <w:t>Any otherwise eligible New Hampshire student may apply, subject to the cap and priority rules.</w:t>
            </w:r>
          </w:p>
        </w:tc>
        <w:tc>
          <w:tcPr>
            <w:tcW w:type="dxa" w:w="3485"/>
            <w:vAlign w:val="center"/>
            <w:shd w:fill="EEF3F7"/>
            <w:tcBorders>
              <w:top w:val="single" w:sz="6" w:color="D7E3EC"/>
              <w:left w:val="single" w:sz="6" w:color="D7E3EC"/>
              <w:bottom w:val="single" w:sz="6" w:color="D7E3EC"/>
              <w:right w:val="single" w:sz="6" w:color="D7E3EC"/>
            </w:tcBorders>
            <w:tcMar>
              <w:top w:w="120" w:type="dxa"/>
              <w:start w:w="120" w:type="dxa"/>
              <w:bottom w:w="110" w:type="dxa"/>
              <w:end w:w="120" w:type="dxa"/>
            </w:tcMar>
          </w:tcPr>
          <w:p>
            <w:pPr>
              <w:spacing w:after="40"/>
              <w:jc w:val="center"/>
            </w:pPr>
            <w:r>
              <w:rPr>
                <w:rFonts w:ascii="Georgia" w:hAnsi="Georgia"/>
                <w:b/>
                <w:color w:val="16233A"/>
                <w:sz w:val="30"/>
              </w:rPr>
              <w:t>Restricted funds</w:t>
            </w:r>
          </w:p>
          <w:p>
            <w:pPr>
              <w:spacing w:after="0"/>
              <w:jc w:val="center"/>
            </w:pPr>
            <w:r>
              <w:rPr>
                <w:rFonts w:ascii="Aptos" w:hAnsi="Aptos"/>
                <w:color w:val="3F4D63"/>
                <w:sz w:val="15"/>
              </w:rPr>
              <w:t>Money may be used only for approved education expenses; it is not unrestricted cash.</w:t>
            </w:r>
          </w:p>
        </w:tc>
      </w:tr>
    </w:tbl>
    <w:p>
      <w:pPr>
        <w:spacing w:after="0"/>
      </w:pP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125" w:type="dxa"/>
              <w:start w:w="145" w:type="dxa"/>
              <w:bottom w:w="115" w:type="dxa"/>
              <w:end w:w="145" w:type="dxa"/>
            </w:tcMar>
          </w:tcPr>
          <w:p>
            <w:pPr>
              <w:spacing w:after="100"/>
            </w:pPr>
            <w:r>
              <w:rPr>
                <w:rFonts w:ascii="Aptos" w:hAnsi="Aptos"/>
                <w:b/>
                <w:color w:val="7A5714"/>
                <w:sz w:val="16"/>
              </w:rPr>
              <w:t>WHAT AN EFA IS</w:t>
            </w:r>
          </w:p>
          <w:p>
            <w:pPr>
              <w:pStyle w:val="ListBullet"/>
              <w:spacing w:after="40" w:line="247" w:lineRule="auto"/>
              <w:ind w:left="230" w:hanging="173"/>
            </w:pPr>
            <w:r>
              <w:rPr>
                <w:rFonts w:ascii="Aptos" w:hAnsi="Aptos"/>
                <w:color w:val="16233A"/>
                <w:sz w:val="18"/>
              </w:rPr>
              <w:t>A state-funded account administered by a scholarship organization for a participating student's approved educational expenses.</w:t>
            </w:r>
          </w:p>
          <w:p>
            <w:pPr>
              <w:pStyle w:val="ListBullet"/>
              <w:spacing w:after="40" w:line="247" w:lineRule="auto"/>
              <w:ind w:left="230" w:hanging="173"/>
            </w:pPr>
            <w:r>
              <w:rPr>
                <w:rFonts w:ascii="Aptos" w:hAnsi="Aptos"/>
                <w:color w:val="16233A"/>
                <w:sz w:val="18"/>
              </w:rPr>
              <w:t>The state transfers the per-pupil adequate education grant plus any differentiated aid attributable to that student.</w:t>
            </w:r>
          </w:p>
          <w:p>
            <w:pPr>
              <w:pStyle w:val="ListBullet"/>
              <w:spacing w:after="40" w:line="247" w:lineRule="auto"/>
              <w:ind w:left="230" w:hanging="173"/>
            </w:pPr>
            <w:r>
              <w:rPr>
                <w:rFonts w:ascii="Aptos" w:hAnsi="Aptos"/>
                <w:color w:val="16233A"/>
                <w:sz w:val="18"/>
              </w:rPr>
              <w:t>Funding comes from the Education Trust Fund under an open-ended statutory appropriation, not from an account tied to the family's own tax payments.</w:t>
            </w:r>
          </w:p>
          <w:p>
            <w:pPr>
              <w:pStyle w:val="ListBullet"/>
              <w:spacing w:after="40" w:line="247" w:lineRule="auto"/>
              <w:ind w:left="230" w:hanging="173"/>
            </w:pPr>
            <w:r>
              <w:rPr>
                <w:rFonts w:ascii="Aptos" w:hAnsi="Aptos"/>
                <w:color w:val="16233A"/>
                <w:sz w:val="18"/>
              </w:rPr>
              <w:t>A participant may not attend the resident district public school full time while receiving new EFA deposits.</w:t>
            </w:r>
          </w:p>
        </w:tc>
        <w:tc>
          <w:tcPr>
            <w:tcW w:type="dxa" w:w="5256"/>
            <w:vAlign w:val="top"/>
            <w:tcBorders>
              <w:top w:val="single" w:sz="6" w:color="DFDCD5"/>
              <w:left w:val="single" w:sz="6" w:color="DFDCD5"/>
              <w:bottom w:val="single" w:sz="6" w:color="DFDCD5"/>
              <w:right w:val="single" w:sz="6" w:color="DFDCD5"/>
            </w:tcBorders>
            <w:tcMar>
              <w:top w:w="125" w:type="dxa"/>
              <w:start w:w="145" w:type="dxa"/>
              <w:bottom w:w="115" w:type="dxa"/>
              <w:end w:w="145" w:type="dxa"/>
            </w:tcMar>
          </w:tcPr>
          <w:p>
            <w:pPr>
              <w:spacing w:after="100"/>
            </w:pPr>
            <w:r>
              <w:rPr>
                <w:rFonts w:ascii="Aptos" w:hAnsi="Aptos"/>
                <w:b/>
                <w:color w:val="7A5714"/>
                <w:sz w:val="16"/>
              </w:rPr>
              <w:t>WHAT FAMILIES MAY BUY</w:t>
            </w:r>
          </w:p>
          <w:p>
            <w:pPr>
              <w:pStyle w:val="ListBullet"/>
              <w:spacing w:after="40" w:line="247" w:lineRule="auto"/>
              <w:ind w:left="230" w:hanging="173"/>
            </w:pPr>
            <w:r>
              <w:rPr>
                <w:rFonts w:ascii="Aptos" w:hAnsi="Aptos"/>
                <w:color w:val="16233A"/>
                <w:sz w:val="18"/>
              </w:rPr>
              <w:t>Private-school or online-program tuition and fees; tutoring; public, charter, or independent-school courses and services.</w:t>
            </w:r>
          </w:p>
          <w:p>
            <w:pPr>
              <w:pStyle w:val="ListBullet"/>
              <w:spacing w:after="40" w:line="247" w:lineRule="auto"/>
              <w:ind w:left="230" w:hanging="173"/>
            </w:pPr>
            <w:r>
              <w:rPr>
                <w:rFonts w:ascii="Aptos" w:hAnsi="Aptos"/>
                <w:color w:val="16233A"/>
                <w:sz w:val="18"/>
              </w:rPr>
              <w:t>Curriculum, textbooks, instructional materials, educational software, computers, internet access, and school uniforms.</w:t>
            </w:r>
          </w:p>
          <w:p>
            <w:pPr>
              <w:pStyle w:val="ListBullet"/>
              <w:spacing w:after="40" w:line="247" w:lineRule="auto"/>
              <w:ind w:left="230" w:hanging="173"/>
            </w:pPr>
            <w:r>
              <w:rPr>
                <w:rFonts w:ascii="Aptos" w:hAnsi="Aptos"/>
                <w:color w:val="16233A"/>
                <w:sz w:val="18"/>
              </w:rPr>
              <w:t>Testing, summer and specialized programs, career or technical education, educational therapies, higher-education tuition, and qualifying transportation.</w:t>
            </w:r>
          </w:p>
          <w:p>
            <w:pPr>
              <w:pStyle w:val="ListBullet"/>
              <w:spacing w:after="40" w:line="247" w:lineRule="auto"/>
              <w:ind w:left="230" w:hanging="173"/>
            </w:pPr>
            <w:r>
              <w:rPr>
                <w:rFonts w:ascii="Aptos" w:hAnsi="Aptos"/>
                <w:color w:val="16233A"/>
                <w:sz w:val="18"/>
              </w:rPr>
              <w:t>Other educational expenses may be approved by the scholarship organization. Refunds return to the EFA; parents cannot receive cash rebates.</w:t>
            </w:r>
          </w:p>
        </w:tc>
      </w:tr>
    </w:tbl>
    <w:p>
      <w:pPr>
        <w:spacing w:after="0"/>
      </w:pP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125" w:type="dxa"/>
              <w:start w:w="145" w:type="dxa"/>
              <w:bottom w:w="115" w:type="dxa"/>
              <w:end w:w="145" w:type="dxa"/>
            </w:tcMar>
          </w:tcPr>
          <w:p>
            <w:pPr>
              <w:spacing w:after="100"/>
            </w:pPr>
            <w:r>
              <w:rPr>
                <w:rFonts w:ascii="Aptos" w:hAnsi="Aptos"/>
                <w:b/>
                <w:color w:val="7A5714"/>
                <w:sz w:val="16"/>
              </w:rPr>
              <w:t>WHO GETS PRIORITY</w:t>
            </w:r>
          </w:p>
          <w:p>
            <w:pPr>
              <w:spacing w:before="0" w:after="60" w:line="254" w:lineRule="auto"/>
            </w:pPr>
            <w:r>
              <w:rPr>
                <w:rFonts w:ascii="Aptos" w:hAnsi="Aptos"/>
                <w:b/>
                <w:color w:val="16233A"/>
                <w:sz w:val="18"/>
              </w:rPr>
              <w:t>The program is universal by income, but not unlimited in enrollment.</w:t>
            </w:r>
          </w:p>
          <w:p>
            <w:pPr>
              <w:pStyle w:val="ListBullet"/>
              <w:spacing w:after="40" w:line="247" w:lineRule="auto"/>
              <w:ind w:left="230" w:hanging="173"/>
            </w:pPr>
            <w:r>
              <w:rPr>
                <w:rFonts w:ascii="Aptos" w:hAnsi="Aptos"/>
                <w:color w:val="16233A"/>
                <w:sz w:val="18"/>
              </w:rPr>
              <w:t>Priority students may enroll beyond the cap: current participants, their siblings, students with disabilities, and students at or below 350% of the federal poverty guideline.</w:t>
            </w:r>
          </w:p>
          <w:p>
            <w:pPr>
              <w:pStyle w:val="ListBullet"/>
              <w:spacing w:after="40" w:line="247" w:lineRule="auto"/>
              <w:ind w:left="230" w:hanging="173"/>
            </w:pPr>
            <w:r>
              <w:rPr>
                <w:rFonts w:ascii="Aptos" w:hAnsi="Aptos"/>
                <w:color w:val="16233A"/>
                <w:sz w:val="18"/>
              </w:rPr>
              <w:t>The 2025–26 cap was 10,000. Because enrollment exceeded 90% of that cap, the 2026–27 cap increased once by 25% to 12,500.</w:t>
            </w:r>
          </w:p>
          <w:p>
            <w:pPr>
              <w:pStyle w:val="ListBullet"/>
              <w:spacing w:after="40" w:line="247" w:lineRule="auto"/>
              <w:ind w:left="230" w:hanging="173"/>
            </w:pPr>
            <w:r>
              <w:rPr>
                <w:rFonts w:ascii="Aptos" w:hAnsi="Aptos"/>
                <w:color w:val="16233A"/>
                <w:sz w:val="18"/>
              </w:rPr>
              <w:t>On August 13, 2026, the administrator reported all 12,500 spots filled and 943 otherwise eligible students waiting.</w:t>
            </w:r>
          </w:p>
        </w:tc>
        <w:tc>
          <w:tcPr>
            <w:tcW w:type="dxa" w:w="5256"/>
            <w:vAlign w:val="top"/>
            <w:tcBorders>
              <w:top w:val="single" w:sz="6" w:color="DFDCD5"/>
              <w:left w:val="single" w:sz="6" w:color="DFDCD5"/>
              <w:bottom w:val="single" w:sz="6" w:color="DFDCD5"/>
              <w:right w:val="single" w:sz="6" w:color="DFDCD5"/>
            </w:tcBorders>
            <w:tcMar>
              <w:top w:w="125" w:type="dxa"/>
              <w:start w:w="145" w:type="dxa"/>
              <w:bottom w:w="115" w:type="dxa"/>
              <w:end w:w="145" w:type="dxa"/>
            </w:tcMar>
          </w:tcPr>
          <w:p>
            <w:pPr>
              <w:spacing w:after="100"/>
            </w:pPr>
            <w:r>
              <w:rPr>
                <w:rFonts w:ascii="Aptos" w:hAnsi="Aptos"/>
                <w:b/>
                <w:color w:val="7A5714"/>
                <w:sz w:val="16"/>
              </w:rPr>
              <w:t>WHAT OVERSIGHT EXISTS</w:t>
            </w:r>
          </w:p>
          <w:p>
            <w:pPr>
              <w:pStyle w:val="ListBullet"/>
              <w:spacing w:after="40" w:line="247" w:lineRule="auto"/>
              <w:ind w:left="230" w:hanging="173"/>
            </w:pPr>
            <w:r>
              <w:rPr>
                <w:rFonts w:ascii="Aptos" w:hAnsi="Aptos"/>
                <w:color w:val="16233A"/>
                <w:sz w:val="18"/>
              </w:rPr>
              <w:t>Parents must provide an annual record of educational attainment: a nationally normed test, the statewide assessment, or an evaluated portfolio.</w:t>
            </w:r>
          </w:p>
          <w:p>
            <w:pPr>
              <w:pStyle w:val="ListBullet"/>
              <w:spacing w:after="40" w:line="247" w:lineRule="auto"/>
              <w:ind w:left="230" w:hanging="173"/>
            </w:pPr>
            <w:r>
              <w:rPr>
                <w:rFonts w:ascii="Aptos" w:hAnsi="Aptos"/>
                <w:color w:val="16233A"/>
                <w:sz w:val="18"/>
              </w:rPr>
              <w:t>The administrator must conduct annual random audits and may suspend accounts, bar providers, or refer suspected fraud to the attorney general.</w:t>
            </w:r>
          </w:p>
          <w:p>
            <w:pPr>
              <w:pStyle w:val="ListBullet"/>
              <w:spacing w:after="40" w:line="247" w:lineRule="auto"/>
              <w:ind w:left="230" w:hanging="173"/>
            </w:pPr>
            <w:r>
              <w:rPr>
                <w:rFonts w:ascii="Aptos" w:hAnsi="Aptos"/>
                <w:color w:val="16233A"/>
                <w:sz w:val="18"/>
              </w:rPr>
              <w:t>The administrator may retain up to 10% of deposits for program administration.</w:t>
            </w:r>
          </w:p>
          <w:p>
            <w:pPr>
              <w:pStyle w:val="ListBullet"/>
              <w:spacing w:after="40" w:line="247" w:lineRule="auto"/>
              <w:ind w:left="230" w:hanging="173"/>
            </w:pPr>
            <w:r>
              <w:rPr>
                <w:rFonts w:ascii="Aptos" w:hAnsi="Aptos"/>
                <w:color w:val="16233A"/>
                <w:sz w:val="18"/>
              </w:rPr>
              <w:t>Providers retain broad independence; accepting EFA funds does not require changing their creed, admissions policy, practices, or curriculum.</w:t>
            </w:r>
          </w:p>
        </w:tc>
      </w:tr>
    </w:tbl>
    <w:p>
      <w:r>
        <w:br w:type="page"/>
      </w:r>
    </w:p>
    <w:p>
      <w:pPr>
        <w:pStyle w:val="Title"/>
        <w:spacing w:after="40"/>
      </w:pPr>
      <w:r>
        <w:rPr>
          <w:rFonts w:ascii="Aptos" w:hAnsi="Aptos"/>
          <w:b/>
          <w:color w:val="C8891F"/>
          <w:sz w:val="17"/>
        </w:rPr>
        <w:t>CLAIMS VERSUS THE COMPLETE PICTURE</w:t>
      </w:r>
    </w:p>
    <w:p>
      <w:pPr>
        <w:spacing w:after="80"/>
      </w:pPr>
      <w:r>
        <w:rPr>
          <w:rFonts w:ascii="Georgia" w:hAnsi="Georgia"/>
          <w:b/>
          <w:color w:val="16233A"/>
          <w:sz w:val="46"/>
        </w:rPr>
        <w:t>What the shorthand leaves out</w:t>
      </w:r>
    </w:p>
    <w:p>
      <w:pPr>
        <w:spacing w:after="200"/>
      </w:pPr>
      <w:r>
        <w:rPr>
          <w:rFonts w:ascii="Georgia" w:hAnsi="Georgia"/>
          <w:color w:val="3F4D63"/>
          <w:sz w:val="21"/>
        </w:rPr>
        <w:t>Most EFA arguments contain a true fragment. The question is what follows when the missing condition is restored.</w:t>
      </w:r>
    </w:p>
    <w:tbl>
      <w:tblPr>
        <w:tblW w:type="auto" w:w="0"/>
        <w:jc w:val="center"/>
        <w:tblLayout w:type="fixed"/>
        <w:tblLook w:firstColumn="1" w:firstRow="1" w:lastColumn="0" w:lastRow="0" w:noHBand="0" w:noVBand="1" w:val="04A0"/>
      </w:tblPr>
      <w:tblGrid>
        <w:gridCol w:w="5328"/>
        <w:gridCol w:w="5328"/>
      </w:tblGrid>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“The money follows the child.”</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Sometimes. For a student leaving certain district public schools, the state redirects adequacy aid to the EFA. For a student already in private school or home education, the EFA is a new state cost because no state adequacy grant was previously paid for that student.</w:t>
            </w:r>
          </w:p>
        </w:tc>
      </w:tr>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“EFAs save taxpayers money.”</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An EFA award can be smaller than total public-school spending per pupil. That comparison alone does not establish systemwide savings. The state's own fiscal note says the effect depends on the student's prior setting and community; local expenditure changes are indeterminate.</w:t>
            </w:r>
          </w:p>
        </w:tc>
      </w:tr>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“Families are only getting their taxes back.”</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That is not how the program is financed. Awards come from pooled state education funds and are calculated from adequacy formulas, not from the household's state or local tax payments.</w:t>
            </w:r>
          </w:p>
        </w:tc>
      </w:tr>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“Universal means unlimited.”</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There is no income eligibility ceiling, but an enrollment cap and priority rules remain. Priority applicants are exempt from the cap; other eligible applicants may be waitlisted.</w:t>
            </w:r>
          </w:p>
        </w:tc>
      </w:tr>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“There is no accountability.”</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Too broad. The law requires approved uses, payment controls, annual academic evidence, and random audits. But providers retain more autonomy than public schools, and the available reporting does not answer every program-effectiveness question.</w:t>
            </w:r>
          </w:p>
        </w:tc>
      </w:tr>
      <w:tr>
        <w:tc>
          <w:tcPr>
            <w:tcW w:type="dxa" w:w="2880"/>
            <w:vAlign w:val="top"/>
            <w:tcBorders>
              <w:top w:val="single" w:sz="6" w:color="DFDCD5"/>
              <w:left w:val="single" w:sz="6" w:color="DFDCD5"/>
              <w:bottom w:val="single" w:sz="6" w:color="DFDCD5"/>
              <w:right w:val="single" w:sz="6" w:color="DFDCD5"/>
            </w:tcBorders>
            <w:tcMar>
              <w:top w:w="90" w:type="dxa"/>
              <w:start w:w="120" w:type="dxa"/>
              <w:bottom w:w="85" w:type="dxa"/>
              <w:end w:w="120" w:type="dxa"/>
            </w:tcMar>
            <w:shd w:fill="FBF2E0"/>
          </w:tcPr>
          <w:p>
            <w:pPr>
              <w:spacing w:before="0" w:after="0" w:line="254" w:lineRule="auto"/>
            </w:pPr>
            <w:r>
              <w:rPr>
                <w:rFonts w:ascii="Aptos" w:hAnsi="Aptos"/>
                <w:b/>
                <w:color w:val="16233A"/>
                <w:sz w:val="18"/>
              </w:rPr>
              <w:t>“Enrollment growth proves the program works.”</w:t>
            </w:r>
          </w:p>
        </w:tc>
        <w:tc>
          <w:tcPr>
            <w:tcW w:type="dxa" w:w="7632"/>
            <w:vAlign w:val="top"/>
            <w:tcBorders>
              <w:top w:val="single" w:sz="6" w:color="DFDCD5"/>
              <w:left w:val="single" w:sz="6" w:color="DFDCD5"/>
              <w:bottom w:val="single" w:sz="6" w:color="DFDCD5"/>
              <w:right w:val="single" w:sz="6" w:color="DFDCD5"/>
            </w:tcBorders>
            <w:tcMar>
              <w:top w:w="90" w:type="dxa"/>
              <w:start w:w="120" w:type="dxa"/>
              <w:bottom w:w="85" w:type="dxa"/>
              <w:end w:w="120" w:type="dxa"/>
            </w:tcMar>
          </w:tcPr>
          <w:p>
            <w:pPr>
              <w:spacing w:before="0" w:after="0" w:line="254" w:lineRule="auto"/>
            </w:pPr>
            <w:r>
              <w:rPr>
                <w:rFonts w:ascii="Aptos" w:hAnsi="Aptos"/>
                <w:b w:val="0"/>
                <w:color w:val="3F4D63"/>
                <w:sz w:val="17"/>
              </w:rPr>
              <w:t>Growth proves demand for the benefit. It does not, by itself, show whether the account created a new educational opportunity, improved an existing choice, or replaced a cost the family was already paying.</w:t>
            </w:r>
          </w:p>
        </w:tc>
      </w:tr>
    </w:tbl>
    <w:p>
      <w:pPr>
        <w:spacing w:after="0"/>
      </w:pP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110" w:type="dxa"/>
              <w:start w:w="135" w:type="dxa"/>
              <w:bottom w:w="100" w:type="dxa"/>
              <w:end w:w="135" w:type="dxa"/>
            </w:tcMar>
          </w:tcPr>
          <w:p>
            <w:pPr>
              <w:spacing w:after="100"/>
            </w:pPr>
            <w:r>
              <w:rPr>
                <w:rFonts w:ascii="Aptos" w:hAnsi="Aptos"/>
                <w:b/>
                <w:color w:val="7A5714"/>
                <w:sz w:val="16"/>
              </w:rPr>
              <w:t>USEFUL BASELINE NUMBERS</w:t>
            </w:r>
          </w:p>
          <w:p>
            <w:pPr>
              <w:pStyle w:val="ListBullet"/>
              <w:spacing w:after="40" w:line="247" w:lineRule="auto"/>
              <w:ind w:left="230" w:hanging="173"/>
            </w:pPr>
            <w:r>
              <w:rPr>
                <w:rFonts w:ascii="Aptos" w:hAnsi="Aptos"/>
                <w:color w:val="16233A"/>
                <w:sz w:val="17"/>
              </w:rPr>
              <w:t>September 2024: 5,321 students; $27.7 million annualized cost; $5,204 average EFA award.</w:t>
            </w:r>
          </w:p>
          <w:p>
            <w:pPr>
              <w:pStyle w:val="ListBullet"/>
              <w:spacing w:after="40" w:line="247" w:lineRule="auto"/>
              <w:ind w:left="230" w:hanging="173"/>
            </w:pPr>
            <w:r>
              <w:rPr>
                <w:rFonts w:ascii="Aptos" w:hAnsi="Aptos"/>
                <w:color w:val="16233A"/>
                <w:sz w:val="17"/>
              </w:rPr>
              <w:t>The universal-eligibility fiscal note estimated about $4,419 for a newly eligible student, while warning that total participation and cost were indeterminable.</w:t>
            </w:r>
          </w:p>
          <w:p>
            <w:pPr>
              <w:pStyle w:val="ListBullet"/>
              <w:spacing w:after="40" w:line="247" w:lineRule="auto"/>
              <w:ind w:left="230" w:hanging="173"/>
            </w:pPr>
            <w:r>
              <w:rPr>
                <w:rFonts w:ascii="Aptos" w:hAnsi="Aptos"/>
                <w:color w:val="16233A"/>
                <w:sz w:val="17"/>
              </w:rPr>
              <w:t>Phase-out grants to districts ended for students newly entering EFAs on or after July 1, 2026.</w:t>
            </w:r>
          </w:p>
        </w:tc>
        <w:tc>
          <w:tcPr>
            <w:tcW w:type="dxa" w:w="5256"/>
            <w:vAlign w:val="top"/>
            <w:tcBorders>
              <w:top w:val="single" w:sz="6" w:color="DFDCD5"/>
              <w:left w:val="single" w:sz="6" w:color="DFDCD5"/>
              <w:bottom w:val="single" w:sz="6" w:color="DFDCD5"/>
              <w:right w:val="single" w:sz="6" w:color="DFDCD5"/>
            </w:tcBorders>
            <w:tcMar>
              <w:top w:w="110" w:type="dxa"/>
              <w:start w:w="135" w:type="dxa"/>
              <w:bottom w:w="100" w:type="dxa"/>
              <w:end w:w="135" w:type="dxa"/>
            </w:tcMar>
          </w:tcPr>
          <w:p>
            <w:pPr>
              <w:spacing w:after="100"/>
            </w:pPr>
            <w:r>
              <w:rPr>
                <w:rFonts w:ascii="Aptos" w:hAnsi="Aptos"/>
                <w:b/>
                <w:color w:val="7A5714"/>
                <w:sz w:val="16"/>
              </w:rPr>
              <w:t>QUESTIONS THE HEADLINE NUMBERS CANNOT ANSWER</w:t>
            </w:r>
          </w:p>
          <w:p>
            <w:pPr>
              <w:pStyle w:val="ListBullet"/>
              <w:spacing w:after="40" w:line="247" w:lineRule="auto"/>
              <w:ind w:left="230" w:hanging="173"/>
            </w:pPr>
            <w:r>
              <w:rPr>
                <w:rFonts w:ascii="Aptos" w:hAnsi="Aptos"/>
                <w:color w:val="16233A"/>
                <w:sz w:val="17"/>
              </w:rPr>
              <w:t>How many accounts changed a student's educational setting versus subsidized an existing choice?</w:t>
            </w:r>
          </w:p>
          <w:p>
            <w:pPr>
              <w:pStyle w:val="ListBullet"/>
              <w:spacing w:after="40" w:line="247" w:lineRule="auto"/>
              <w:ind w:left="230" w:hanging="173"/>
            </w:pPr>
            <w:r>
              <w:rPr>
                <w:rFonts w:ascii="Aptos" w:hAnsi="Aptos"/>
                <w:color w:val="16233A"/>
                <w:sz w:val="17"/>
              </w:rPr>
              <w:t>What are the longer-term academic, fiscal, and distributional results?</w:t>
            </w:r>
          </w:p>
          <w:p>
            <w:pPr>
              <w:pStyle w:val="ListBullet"/>
              <w:spacing w:after="40" w:line="247" w:lineRule="auto"/>
              <w:ind w:left="230" w:hanging="173"/>
            </w:pPr>
            <w:r>
              <w:rPr>
                <w:rFonts w:ascii="Aptos" w:hAnsi="Aptos"/>
                <w:color w:val="16233A"/>
                <w:sz w:val="17"/>
              </w:rPr>
              <w:t>How do EFA-related aid changes affect district services and local taxes after fixed costs and enrollment timing are considered?</w:t>
            </w:r>
          </w:p>
        </w:tc>
      </w:tr>
    </w:tbl>
    <w:p>
      <w:pPr>
        <w:spacing w:before="140" w:after="40"/>
      </w:pPr>
      <w:r>
        <w:rPr>
          <w:rFonts w:ascii="Aptos" w:hAnsi="Aptos"/>
          <w:b/>
          <w:color w:val="7A5714"/>
          <w:sz w:val="15"/>
        </w:rPr>
        <w:t>PRIMARY SOURCES</w:t>
      </w:r>
    </w:p>
    <w:p>
      <w:pPr>
        <w:spacing w:after="20" w:line="240" w:lineRule="auto"/>
      </w:pPr>
      <w:r>
        <w:rPr>
          <w:rFonts w:ascii="Aptos" w:hAnsi="Aptos"/>
          <w:color w:val="3F4D63"/>
          <w:sz w:val="14"/>
        </w:rPr>
        <w:t xml:space="preserve">New Hampshire RSA 194-F, Education Freedom Accounts · </w:t>
      </w:r>
      <w:hyperlink r:id="rId10">
        <w:r>
          <w:rPr>
            <w:color w:val="1B2C4B"/>
            <w:u w:val="single"/>
          </w:rPr>
          <w:t>gc.nh.gov/rsa/html/XV/194-F/194-F-mrg.htm</w:t>
        </w:r>
      </w:hyperlink>
    </w:p>
    <w:p>
      <w:pPr>
        <w:spacing w:after="20" w:line="240" w:lineRule="auto"/>
      </w:pPr>
      <w:r>
        <w:rPr>
          <w:rFonts w:ascii="Aptos" w:hAnsi="Aptos"/>
          <w:color w:val="3F4D63"/>
          <w:sz w:val="14"/>
        </w:rPr>
        <w:t xml:space="preserve">NH General Court, HB 115-FN fiscal note (universal eligibility) · </w:t>
      </w:r>
      <w:hyperlink r:id="rId11">
        <w:r>
          <w:rPr>
            <w:color w:val="1B2C4B"/>
            <w:u w:val="single"/>
          </w:rPr>
          <w:t>gc.nh.gov/bill_status/pdf.aspx?id=16612&amp;q=billVersion</w:t>
        </w:r>
      </w:hyperlink>
    </w:p>
    <w:p>
      <w:pPr>
        <w:spacing w:after="0" w:line="240" w:lineRule="auto"/>
      </w:pPr>
      <w:r>
        <w:rPr>
          <w:rFonts w:ascii="Aptos" w:hAnsi="Aptos"/>
          <w:color w:val="3F4D63"/>
          <w:sz w:val="14"/>
        </w:rPr>
        <w:t xml:space="preserve">Children's Scholarship Fund NH, August 13, 2026 enrollment release · </w:t>
      </w:r>
      <w:hyperlink r:id="rId12">
        <w:r>
          <w:rPr>
            <w:color w:val="1B2C4B"/>
            <w:u w:val="single"/>
          </w:rPr>
          <w:t>12,500-student enrollment cap</w:t>
        </w:r>
      </w:hyperlink>
    </w:p>
    <w:p>
      <w:r>
        <w:br w:type="page"/>
      </w:r>
    </w:p>
    <w:p>
      <w:pPr>
        <w:pStyle w:val="Title"/>
        <w:spacing w:after="40"/>
      </w:pPr>
      <w:r>
        <w:rPr>
          <w:rFonts w:ascii="Aptos" w:hAnsi="Aptos"/>
          <w:b/>
          <w:color w:val="C8891F"/>
          <w:sz w:val="17"/>
        </w:rPr>
        <w:t>PUBLIC-RECORD CLAIM CHECK</w:t>
      </w:r>
    </w:p>
    <w:p>
      <w:pPr>
        <w:spacing w:after="80"/>
      </w:pPr>
      <w:r>
        <w:rPr>
          <w:rFonts w:ascii="Georgia" w:hAnsi="Georgia"/>
          <w:b/>
          <w:color w:val="16233A"/>
          <w:sz w:val="46"/>
        </w:rPr>
        <w:t>Victoria Sullivan’s EFA claims</w:t>
      </w:r>
    </w:p>
    <w:p>
      <w:pPr>
        <w:spacing w:after="200"/>
      </w:pPr>
      <w:r>
        <w:rPr>
          <w:rFonts w:ascii="Georgia" w:hAnsi="Georgia"/>
          <w:color w:val="3F4D63"/>
          <w:sz w:val="21"/>
        </w:rPr>
        <w:t>The documented claims below come from Sullivan’s Senate news release and her 2026 testimony on SB 581. Each contains a true point, but each needs an omitted condition restored.</w:t>
      </w: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“Every Granite State family will be able to utilize this program.”</w:t>
            </w:r>
          </w:p>
          <w:p>
            <w:pPr>
              <w:spacing w:after="40" w:line="240" w:lineRule="auto"/>
            </w:pPr>
            <w:r>
              <w:rPr>
                <w:rFonts w:ascii="Aptos" w:hAnsi="Aptos"/>
                <w:b/>
                <w:color w:val="2F6B45"/>
                <w:sz w:val="13"/>
              </w:rPr>
              <w:t xml:space="preserve">WHAT IS TRUE  </w:t>
            </w:r>
            <w:r>
              <w:rPr>
                <w:rFonts w:ascii="Aptos" w:hAnsi="Aptos"/>
                <w:color w:val="3F4D63"/>
                <w:sz w:val="14"/>
              </w:rPr>
              <w:t>SB 295 removed the household-income ceiling.</w:t>
            </w:r>
          </w:p>
          <w:p>
            <w:pPr>
              <w:spacing w:after="0" w:line="240" w:lineRule="auto"/>
            </w:pPr>
            <w:r>
              <w:rPr>
                <w:rFonts w:ascii="Aptos" w:hAnsi="Aptos"/>
                <w:b/>
                <w:color w:val="9A3324"/>
                <w:sz w:val="13"/>
              </w:rPr>
              <w:t xml:space="preserve">WHAT IS MISSING  </w:t>
            </w:r>
            <w:r>
              <w:rPr>
                <w:rFonts w:ascii="Aptos" w:hAnsi="Aptos"/>
                <w:color w:val="3F4D63"/>
                <w:sz w:val="14"/>
              </w:rPr>
              <w:t>Eligibility is not guaranteed access. The law kept a cap and priority rules; the 2026–27 cap was reached, and 943 otherwise eligible students were waiting as of August 13, 2026.</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“Universal school choice for all New Hampshire families.”</w:t>
            </w:r>
          </w:p>
          <w:p>
            <w:pPr>
              <w:spacing w:after="40" w:line="240" w:lineRule="auto"/>
            </w:pPr>
            <w:r>
              <w:rPr>
                <w:rFonts w:ascii="Aptos" w:hAnsi="Aptos"/>
                <w:b/>
                <w:color w:val="2F6B45"/>
                <w:sz w:val="13"/>
              </w:rPr>
              <w:t xml:space="preserve">WHAT IS TRUE  </w:t>
            </w:r>
            <w:r>
              <w:rPr>
                <w:rFonts w:ascii="Aptos" w:hAnsi="Aptos"/>
                <w:color w:val="3F4D63"/>
                <w:sz w:val="14"/>
              </w:rPr>
              <w:t>Income no longer disqualifies an otherwise eligible student.</w:t>
            </w:r>
          </w:p>
          <w:p>
            <w:pPr>
              <w:spacing w:after="0" w:line="240" w:lineRule="auto"/>
            </w:pPr>
            <w:r>
              <w:rPr>
                <w:rFonts w:ascii="Aptos" w:hAnsi="Aptos"/>
                <w:b/>
                <w:color w:val="9A3324"/>
                <w:sz w:val="13"/>
              </w:rPr>
              <w:t xml:space="preserve">WHAT IS MISSING  </w:t>
            </w:r>
            <w:r>
              <w:rPr>
                <w:rFonts w:ascii="Aptos" w:hAnsi="Aptos"/>
                <w:color w:val="3F4D63"/>
                <w:sz w:val="14"/>
              </w:rPr>
              <w:t>An EFA is a subsidy, not a guaranteed placement. Private providers control admissions and curriculum, may charge more than the award, and need not alter their admissions policy to accept EFA funds.</w:t>
            </w:r>
          </w:p>
        </w:tc>
      </w:tr>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Families can “freely choose the best school for their children.”</w:t>
            </w:r>
          </w:p>
          <w:p>
            <w:pPr>
              <w:spacing w:after="40" w:line="240" w:lineRule="auto"/>
            </w:pPr>
            <w:r>
              <w:rPr>
                <w:rFonts w:ascii="Aptos" w:hAnsi="Aptos"/>
                <w:b/>
                <w:color w:val="2F6B45"/>
                <w:sz w:val="13"/>
              </w:rPr>
              <w:t xml:space="preserve">WHAT IS TRUE  </w:t>
            </w:r>
            <w:r>
              <w:rPr>
                <w:rFonts w:ascii="Aptos" w:hAnsi="Aptos"/>
                <w:color w:val="3F4D63"/>
                <w:sz w:val="14"/>
              </w:rPr>
              <w:t>The program broadens the set of expenses families may finance with state funds.</w:t>
            </w:r>
          </w:p>
          <w:p>
            <w:pPr>
              <w:spacing w:after="0" w:line="240" w:lineRule="auto"/>
            </w:pPr>
            <w:r>
              <w:rPr>
                <w:rFonts w:ascii="Aptos" w:hAnsi="Aptos"/>
                <w:b/>
                <w:color w:val="9A3324"/>
                <w:sz w:val="13"/>
              </w:rPr>
              <w:t xml:space="preserve">WHAT IS MISSING  </w:t>
            </w:r>
            <w:r>
              <w:rPr>
                <w:rFonts w:ascii="Aptos" w:hAnsi="Aptos"/>
                <w:color w:val="3F4D63"/>
                <w:sz w:val="14"/>
              </w:rPr>
              <w:t>Actual access still depends on admission, tuition, transportation, available services, and a provider’s willingness or ability to serve the student. Choice by a family does not require acceptance by a school.</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The program is “extremely successful” because it serves thousands of families.</w:t>
            </w:r>
          </w:p>
          <w:p>
            <w:pPr>
              <w:spacing w:after="40" w:line="240" w:lineRule="auto"/>
            </w:pPr>
            <w:r>
              <w:rPr>
                <w:rFonts w:ascii="Aptos" w:hAnsi="Aptos"/>
                <w:b/>
                <w:color w:val="2F6B45"/>
                <w:sz w:val="13"/>
              </w:rPr>
              <w:t xml:space="preserve">WHAT IS TRUE  </w:t>
            </w:r>
            <w:r>
              <w:rPr>
                <w:rFonts w:ascii="Aptos" w:hAnsi="Aptos"/>
                <w:color w:val="3F4D63"/>
                <w:sz w:val="14"/>
              </w:rPr>
              <w:t>Enrollment and demand have grown rapidly.</w:t>
            </w:r>
          </w:p>
          <w:p>
            <w:pPr>
              <w:spacing w:after="0" w:line="240" w:lineRule="auto"/>
            </w:pPr>
            <w:r>
              <w:rPr>
                <w:rFonts w:ascii="Aptos" w:hAnsi="Aptos"/>
                <w:b/>
                <w:color w:val="9A3324"/>
                <w:sz w:val="13"/>
              </w:rPr>
              <w:t xml:space="preserve">WHAT IS MISSING  </w:t>
            </w:r>
            <w:r>
              <w:rPr>
                <w:rFonts w:ascii="Aptos" w:hAnsi="Aptos"/>
                <w:color w:val="3F4D63"/>
                <w:sz w:val="14"/>
              </w:rPr>
              <w:t>Participation is an output, not an outcome. Enrollment alone does not measure achievement, long-term benefit, fiscal savings, or whether public funding changed the family’s prior educational choice.</w:t>
            </w:r>
          </w:p>
        </w:tc>
      </w:tr>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“No child should be left in the waiting room of school choice.”</w:t>
            </w:r>
          </w:p>
          <w:p>
            <w:pPr>
              <w:spacing w:after="40" w:line="240" w:lineRule="auto"/>
            </w:pPr>
            <w:r>
              <w:rPr>
                <w:rFonts w:ascii="Aptos" w:hAnsi="Aptos"/>
                <w:b/>
                <w:color w:val="2F6B45"/>
                <w:sz w:val="13"/>
              </w:rPr>
              <w:t xml:space="preserve">WHAT IS TRUE  </w:t>
            </w:r>
            <w:r>
              <w:rPr>
                <w:rFonts w:ascii="Aptos" w:hAnsi="Aptos"/>
                <w:color w:val="3F4D63"/>
                <w:sz w:val="14"/>
              </w:rPr>
              <w:t>Some otherwise eligible applicants have been waitlisted, while statutory priority groups can enroll beyond the cap.</w:t>
            </w:r>
          </w:p>
          <w:p>
            <w:pPr>
              <w:spacing w:after="0" w:line="240" w:lineRule="auto"/>
            </w:pPr>
            <w:r>
              <w:rPr>
                <w:rFonts w:ascii="Aptos" w:hAnsi="Aptos"/>
                <w:b/>
                <w:color w:val="9A3324"/>
                <w:sz w:val="13"/>
              </w:rPr>
              <w:t xml:space="preserve">WHAT IS MISSING  </w:t>
            </w:r>
            <w:r>
              <w:rPr>
                <w:rFonts w:ascii="Aptos" w:hAnsi="Aptos"/>
                <w:color w:val="3F4D63"/>
                <w:sz w:val="14"/>
              </w:rPr>
              <w:t>Removing a cap is also a fiscal decision. It changes the state’s exposure under a statute that appropriates whatever amount is necessary to fund EFA obligations.</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There was “no fiscal note” because the 800 waitlisted families would fit after the automatic cap increase.</w:t>
            </w:r>
          </w:p>
          <w:p>
            <w:pPr>
              <w:spacing w:after="40" w:line="240" w:lineRule="auto"/>
            </w:pPr>
            <w:r>
              <w:rPr>
                <w:rFonts w:ascii="Aptos" w:hAnsi="Aptos"/>
                <w:b/>
                <w:color w:val="2F6B45"/>
                <w:sz w:val="13"/>
              </w:rPr>
              <w:t xml:space="preserve">WHAT IS TRUE  </w:t>
            </w:r>
            <w:r>
              <w:rPr>
                <w:rFonts w:ascii="Aptos" w:hAnsi="Aptos"/>
                <w:color w:val="3F4D63"/>
                <w:sz w:val="14"/>
              </w:rPr>
              <w:t>At the January 2026 hearing, the scheduled 25% increase from 10,000 to 12,500 was larger than the cited 800-person waitlist.</w:t>
            </w:r>
          </w:p>
          <w:p>
            <w:pPr>
              <w:spacing w:after="0" w:line="240" w:lineRule="auto"/>
            </w:pPr>
            <w:r>
              <w:rPr>
                <w:rFonts w:ascii="Aptos" w:hAnsi="Aptos"/>
                <w:b/>
                <w:color w:val="9A3324"/>
                <w:sz w:val="13"/>
              </w:rPr>
              <w:t xml:space="preserve">WHAT IS MISSING  </w:t>
            </w:r>
            <w:r>
              <w:rPr>
                <w:rFonts w:ascii="Aptos" w:hAnsi="Aptos"/>
                <w:color w:val="3F4D63"/>
                <w:sz w:val="14"/>
              </w:rPr>
              <w:t>That explains a near-term capacity calculation; it does not bound future enrollment or cost if the cap and priority structure are permanently repealed. The universal-eligibility fiscal note called future participation and expenditure indeterminable.</w:t>
            </w:r>
          </w:p>
        </w:tc>
      </w:tr>
    </w:tbl>
    <w:p>
      <w:pPr>
        <w:spacing w:before="140" w:after="60"/>
      </w:pPr>
      <w:r>
        <w:rPr>
          <w:rFonts w:ascii="Aptos" w:hAnsi="Aptos"/>
          <w:b/>
          <w:color w:val="7A5714"/>
          <w:sz w:val="15"/>
        </w:rPr>
        <w:t>THE LEGISLATIVE RECORD</w:t>
      </w:r>
    </w:p>
    <w:tbl>
      <w:tblPr>
        <w:tblW w:type="auto" w:w="0"/>
        <w:jc w:val="center"/>
        <w:tblLayout w:type="fixed"/>
        <w:tblLook w:firstColumn="1" w:firstRow="1" w:lastColumn="0" w:lastRow="0" w:noHBand="0" w:noVBand="1" w:val="04A0"/>
      </w:tblPr>
      <w:tblGrid>
        <w:gridCol w:w="5328"/>
        <w:gridCol w:w="5328"/>
      </w:tblGrid>
      <w:tr>
        <w:tc>
          <w:tcPr>
            <w:tcW w:type="dxa" w:w="1944"/>
            <w:tcBorders>
              <w:top w:val="single" w:sz="6" w:color="DFDCD5"/>
              <w:left w:val="single" w:sz="6" w:color="DFDCD5"/>
              <w:bottom w:val="single" w:sz="6" w:color="DFDCD5"/>
              <w:right w:val="single" w:sz="6" w:color="DFDCD5"/>
            </w:tcBorders>
            <w:tcMar>
              <w:top w:w="70" w:type="dxa"/>
              <w:start w:w="110" w:type="dxa"/>
              <w:bottom w:w="65" w:type="dxa"/>
              <w:end w:w="110" w:type="dxa"/>
            </w:tcMar>
            <w:shd w:fill="EEF3F7"/>
          </w:tcPr>
          <w:p>
            <w:pPr>
              <w:spacing w:before="0" w:after="0" w:line="254" w:lineRule="auto"/>
            </w:pPr>
            <w:r>
              <w:rPr>
                <w:rFonts w:ascii="Aptos" w:hAnsi="Aptos"/>
                <w:b/>
                <w:color w:val="16233A"/>
                <w:sz w:val="16"/>
              </w:rPr>
              <w:t>SB 295 (2025)</w:t>
            </w:r>
          </w:p>
        </w:tc>
        <w:tc>
          <w:tcPr>
            <w:tcW w:type="dxa" w:w="8568"/>
            <w:tcBorders>
              <w:top w:val="single" w:sz="6" w:color="DFDCD5"/>
              <w:left w:val="single" w:sz="6" w:color="DFDCD5"/>
              <w:bottom w:val="single" w:sz="6" w:color="DFDCD5"/>
              <w:right w:val="single" w:sz="6" w:color="DFDCD5"/>
            </w:tcBorders>
            <w:tcMar>
              <w:top w:w="70" w:type="dxa"/>
              <w:start w:w="110" w:type="dxa"/>
              <w:bottom w:w="65" w:type="dxa"/>
              <w:end w:w="110" w:type="dxa"/>
            </w:tcMar>
          </w:tcPr>
          <w:p>
            <w:pPr>
              <w:spacing w:before="0" w:after="0" w:line="254" w:lineRule="auto"/>
            </w:pPr>
            <w:r>
              <w:rPr>
                <w:rFonts w:ascii="Aptos" w:hAnsi="Aptos"/>
                <w:b w:val="0"/>
                <w:color w:val="3F4D63"/>
                <w:sz w:val="15"/>
              </w:rPr>
              <w:t>Sullivan was prime sponsor. The enacted bill removed the EFA income threshold while retaining the enrollment structure.</w:t>
            </w:r>
          </w:p>
        </w:tc>
      </w:tr>
      <w:tr>
        <w:tc>
          <w:tcPr>
            <w:tcW w:type="dxa" w:w="1944"/>
            <w:tcBorders>
              <w:top w:val="single" w:sz="6" w:color="DFDCD5"/>
              <w:left w:val="single" w:sz="6" w:color="DFDCD5"/>
              <w:bottom w:val="single" w:sz="6" w:color="DFDCD5"/>
              <w:right w:val="single" w:sz="6" w:color="DFDCD5"/>
            </w:tcBorders>
            <w:tcMar>
              <w:top w:w="70" w:type="dxa"/>
              <w:start w:w="110" w:type="dxa"/>
              <w:bottom w:w="65" w:type="dxa"/>
              <w:end w:w="110" w:type="dxa"/>
            </w:tcMar>
            <w:shd w:fill="EEF3F7"/>
          </w:tcPr>
          <w:p>
            <w:pPr>
              <w:spacing w:before="0" w:after="0" w:line="254" w:lineRule="auto"/>
            </w:pPr>
            <w:r>
              <w:rPr>
                <w:rFonts w:ascii="Aptos" w:hAnsi="Aptos"/>
                <w:b/>
                <w:color w:val="16233A"/>
                <w:sz w:val="16"/>
              </w:rPr>
              <w:t>SB 581 (2026)</w:t>
            </w:r>
          </w:p>
        </w:tc>
        <w:tc>
          <w:tcPr>
            <w:tcW w:type="dxa" w:w="8568"/>
            <w:tcBorders>
              <w:top w:val="single" w:sz="6" w:color="DFDCD5"/>
              <w:left w:val="single" w:sz="6" w:color="DFDCD5"/>
              <w:bottom w:val="single" w:sz="6" w:color="DFDCD5"/>
              <w:right w:val="single" w:sz="6" w:color="DFDCD5"/>
            </w:tcBorders>
            <w:tcMar>
              <w:top w:w="70" w:type="dxa"/>
              <w:start w:w="110" w:type="dxa"/>
              <w:bottom w:w="65" w:type="dxa"/>
              <w:end w:w="110" w:type="dxa"/>
            </w:tcMar>
          </w:tcPr>
          <w:p>
            <w:pPr>
              <w:spacing w:before="0" w:after="0" w:line="254" w:lineRule="auto"/>
            </w:pPr>
            <w:r>
              <w:rPr>
                <w:rFonts w:ascii="Aptos" w:hAnsi="Aptos"/>
                <w:b w:val="0"/>
                <w:color w:val="3F4D63"/>
                <w:sz w:val="15"/>
              </w:rPr>
              <w:t>Sullivan sponsored repeal of the enrollment cap and priority guidelines. The proposal went to interim study; it did not become law.</w:t>
            </w:r>
          </w:p>
        </w:tc>
      </w:tr>
    </w:tbl>
    <w:p>
      <w:pPr>
        <w:spacing w:before="120" w:after="20" w:line="240" w:lineRule="auto"/>
      </w:pPr>
      <w:r>
        <w:rPr>
          <w:rFonts w:ascii="Aptos" w:hAnsi="Aptos"/>
          <w:b/>
          <w:color w:val="3F4D63"/>
          <w:sz w:val="14"/>
        </w:rPr>
        <w:t xml:space="preserve">Sources: </w:t>
      </w:r>
      <w:hyperlink r:id="rId13">
        <w:r>
          <w:rPr>
            <w:color w:val="1B2C4B"/>
            <w:u w:val="single"/>
          </w:rPr>
          <w:t>Senate news release on SB 295</w:t>
        </w:r>
      </w:hyperlink>
      <w:r>
        <w:rPr>
          <w:color w:val="3F4D63"/>
          <w:sz w:val="14"/>
        </w:rPr>
        <w:t xml:space="preserve"> · </w:t>
      </w:r>
      <w:hyperlink r:id="rId14">
        <w:r>
          <w:rPr>
            <w:color w:val="1B2C4B"/>
            <w:u w:val="single"/>
          </w:rPr>
          <w:t>SB 581 hearing report</w:t>
        </w:r>
      </w:hyperlink>
    </w:p>
    <w:p>
      <w:r>
        <w:br w:type="page"/>
      </w:r>
    </w:p>
    <w:p>
      <w:pPr>
        <w:pStyle w:val="Title"/>
        <w:spacing w:after="40"/>
      </w:pPr>
      <w:r>
        <w:rPr>
          <w:rFonts w:ascii="Aptos" w:hAnsi="Aptos"/>
          <w:b/>
          <w:color w:val="C8891F"/>
          <w:sz w:val="17"/>
        </w:rPr>
        <w:t>SCREENSHOT CLAIM CHECK</w:t>
      </w:r>
    </w:p>
    <w:p>
      <w:pPr>
        <w:spacing w:after="80"/>
      </w:pPr>
      <w:r>
        <w:rPr>
          <w:rFonts w:ascii="Georgia" w:hAnsi="Georgia"/>
          <w:b/>
          <w:color w:val="16233A"/>
          <w:sz w:val="46"/>
        </w:rPr>
        <w:t>Six recurring social-media claims</w:t>
      </w:r>
    </w:p>
    <w:p>
      <w:pPr>
        <w:spacing w:after="200"/>
      </w:pPr>
      <w:r>
        <w:rPr>
          <w:rFonts w:ascii="Georgia" w:hAnsi="Georgia"/>
          <w:color w:val="3F4D63"/>
          <w:sz w:val="21"/>
        </w:rPr>
        <w:t>The strongest version of each claim is shown; the missing context is what changes the conclusion.</w:t>
      </w: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“Most EFA children are from wealthy families already in private school” is false.</w:t>
            </w:r>
          </w:p>
          <w:p>
            <w:pPr>
              <w:spacing w:after="40" w:line="240" w:lineRule="auto"/>
            </w:pPr>
            <w:r>
              <w:rPr>
                <w:rFonts w:ascii="Aptos" w:hAnsi="Aptos"/>
                <w:b/>
                <w:color w:val="2F6B45"/>
                <w:sz w:val="13"/>
              </w:rPr>
              <w:t xml:space="preserve">WHAT IS TRUE  </w:t>
            </w:r>
            <w:r>
              <w:rPr>
                <w:rFonts w:ascii="Aptos" w:hAnsi="Aptos"/>
                <w:color w:val="3F4D63"/>
                <w:sz w:val="14"/>
              </w:rPr>
              <w:t>EFA families are not all wealthy, and participating students may come from private school, home education, or other settings.</w:t>
            </w:r>
          </w:p>
          <w:p>
            <w:pPr>
              <w:spacing w:after="0" w:line="240" w:lineRule="auto"/>
            </w:pPr>
            <w:r>
              <w:rPr>
                <w:rFonts w:ascii="Aptos" w:hAnsi="Aptos"/>
                <w:b/>
                <w:color w:val="9A3324"/>
                <w:sz w:val="13"/>
              </w:rPr>
              <w:t xml:space="preserve">WHAT IS MISSING  </w:t>
            </w:r>
            <w:r>
              <w:rPr>
                <w:rFonts w:ascii="Aptos" w:hAnsi="Aptos"/>
                <w:color w:val="3F4D63"/>
                <w:sz w:val="14"/>
              </w:rPr>
              <w:t>There is no income ceiling. In the 2025 to 2026 expansion, NHDOE reported that only 343 of 4,745 new participants, or 7.2 percent, had attended public school in the preceding year. The data do not identify every student in the remaining group and may include private-school students, home-educated students, first-time students, or students who left public school earlier.</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“EFAs cost about $4,500, versus $21,000+ in public schools.”</w:t>
            </w:r>
          </w:p>
          <w:p>
            <w:pPr>
              <w:spacing w:after="40" w:line="240" w:lineRule="auto"/>
            </w:pPr>
            <w:r>
              <w:rPr>
                <w:rFonts w:ascii="Aptos" w:hAnsi="Aptos"/>
                <w:b/>
                <w:color w:val="2F6B45"/>
                <w:sz w:val="13"/>
              </w:rPr>
              <w:t xml:space="preserve">WHAT IS TRUE  </w:t>
            </w:r>
            <w:r>
              <w:rPr>
                <w:rFonts w:ascii="Aptos" w:hAnsi="Aptos"/>
                <w:color w:val="3F4D63"/>
                <w:sz w:val="14"/>
              </w:rPr>
              <w:t>A typical EFA award is much smaller than total reported public-school operating spending per pupil.</w:t>
            </w:r>
          </w:p>
          <w:p>
            <w:pPr>
              <w:spacing w:after="0" w:line="240" w:lineRule="auto"/>
            </w:pPr>
            <w:r>
              <w:rPr>
                <w:rFonts w:ascii="Aptos" w:hAnsi="Aptos"/>
                <w:b/>
                <w:color w:val="9A3324"/>
                <w:sz w:val="13"/>
              </w:rPr>
              <w:t xml:space="preserve">WHAT IS MISSING  </w:t>
            </w:r>
            <w:r>
              <w:rPr>
                <w:rFonts w:ascii="Aptos" w:hAnsi="Aptos"/>
                <w:color w:val="3F4D63"/>
                <w:sz w:val="14"/>
              </w:rPr>
              <w:t>Those figures measure different things. An EFA is a state grant; the public-school figure combines funding sources and shared services. Students already outside public schools create a new state cost rather than a savings from departure.</w:t>
            </w:r>
          </w:p>
        </w:tc>
      </w:tr>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“EFAs are funded with new state revenue, not local property taxes.”</w:t>
            </w:r>
          </w:p>
          <w:p>
            <w:pPr>
              <w:spacing w:after="40" w:line="240" w:lineRule="auto"/>
            </w:pPr>
            <w:r>
              <w:rPr>
                <w:rFonts w:ascii="Aptos" w:hAnsi="Aptos"/>
                <w:b/>
                <w:color w:val="2F6B45"/>
                <w:sz w:val="13"/>
              </w:rPr>
              <w:t xml:space="preserve">WHAT IS TRUE  </w:t>
            </w:r>
            <w:r>
              <w:rPr>
                <w:rFonts w:ascii="Aptos" w:hAnsi="Aptos"/>
                <w:color w:val="3F4D63"/>
                <w:sz w:val="14"/>
              </w:rPr>
              <w:t>EFA payments come from the state Education Trust Fund; a town does not receive a separate EFA bill.</w:t>
            </w:r>
          </w:p>
          <w:p>
            <w:pPr>
              <w:spacing w:after="0" w:line="240" w:lineRule="auto"/>
            </w:pPr>
            <w:r>
              <w:rPr>
                <w:rFonts w:ascii="Aptos" w:hAnsi="Aptos"/>
                <w:b/>
                <w:color w:val="9A3324"/>
                <w:sz w:val="13"/>
              </w:rPr>
              <w:t xml:space="preserve">WHAT IS MISSING  </w:t>
            </w:r>
            <w:r>
              <w:rPr>
                <w:rFonts w:ascii="Aptos" w:hAnsi="Aptos"/>
                <w:color w:val="3F4D63"/>
                <w:sz w:val="14"/>
              </w:rPr>
              <w:t>The fund is pooled state revenue backed by an open-ended appropriation. Public-school switchers reduce state aid to their districts, local cost changes are indeterminate, and transition grants ended for new entrants July 1, 2026.</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“EFAs are one of the most transparent programs in the state.”</w:t>
            </w:r>
          </w:p>
          <w:p>
            <w:pPr>
              <w:spacing w:after="40" w:line="240" w:lineRule="auto"/>
            </w:pPr>
            <w:r>
              <w:rPr>
                <w:rFonts w:ascii="Aptos" w:hAnsi="Aptos"/>
                <w:b/>
                <w:color w:val="2F6B45"/>
                <w:sz w:val="13"/>
              </w:rPr>
              <w:t xml:space="preserve">WHAT IS TRUE  </w:t>
            </w:r>
            <w:r>
              <w:rPr>
                <w:rFonts w:ascii="Aptos" w:hAnsi="Aptos"/>
                <w:color w:val="3F4D63"/>
                <w:sz w:val="14"/>
              </w:rPr>
              <w:t>The law requires reports, payment controls, annual random account audits, academic records, and legislative oversight.</w:t>
            </w:r>
          </w:p>
          <w:p>
            <w:pPr>
              <w:spacing w:after="0" w:line="240" w:lineRule="auto"/>
            </w:pPr>
            <w:r>
              <w:rPr>
                <w:rFonts w:ascii="Aptos" w:hAnsi="Aptos"/>
                <w:b/>
                <w:color w:val="9A3324"/>
                <w:sz w:val="13"/>
              </w:rPr>
              <w:t xml:space="preserve">WHAT IS MISSING  </w:t>
            </w:r>
            <w:r>
              <w:rPr>
                <w:rFonts w:ascii="Aptos" w:hAnsi="Aptos"/>
                <w:color w:val="3F4D63"/>
                <w:sz w:val="14"/>
              </w:rPr>
              <w:t>Controls over allowable purchases are not the same as public evidence of program-wide results. Providers retain broad autonomy over admissions, practices, and curriculum, and the law does not impose public-school-equivalent governance.</w:t>
            </w:r>
          </w:p>
        </w:tc>
      </w:tr>
      <w:tr>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“Public charter schools also hire teachers who are not NH-certified.”</w:t>
            </w:r>
          </w:p>
          <w:p>
            <w:pPr>
              <w:spacing w:after="40" w:line="240" w:lineRule="auto"/>
            </w:pPr>
            <w:r>
              <w:rPr>
                <w:rFonts w:ascii="Aptos" w:hAnsi="Aptos"/>
                <w:b/>
                <w:color w:val="2F6B45"/>
                <w:sz w:val="13"/>
              </w:rPr>
              <w:t xml:space="preserve">WHAT IS TRUE  </w:t>
            </w:r>
            <w:r>
              <w:rPr>
                <w:rFonts w:ascii="Aptos" w:hAnsi="Aptos"/>
                <w:color w:val="3F4D63"/>
                <w:sz w:val="14"/>
              </w:rPr>
              <w:t>State law requires only half of a charter school’s teaching staff to be NH-certified or have at least three years of teaching experience.</w:t>
            </w:r>
          </w:p>
          <w:p>
            <w:pPr>
              <w:spacing w:after="0" w:line="240" w:lineRule="auto"/>
            </w:pPr>
            <w:r>
              <w:rPr>
                <w:rFonts w:ascii="Aptos" w:hAnsi="Aptos"/>
                <w:b/>
                <w:color w:val="9A3324"/>
                <w:sz w:val="13"/>
              </w:rPr>
              <w:t xml:space="preserve">WHAT IS MISSING  </w:t>
            </w:r>
            <w:r>
              <w:rPr>
                <w:rFonts w:ascii="Aptos" w:hAnsi="Aptos"/>
                <w:color w:val="3F4D63"/>
                <w:sz w:val="14"/>
              </w:rPr>
              <w:t>Charter schools are public, secular, charter-governed, and subject to learning goals, testing, reporting, and possible charter revocation. The comparison does not answer the standards at a particular private EFA provider.</w:t>
            </w:r>
          </w:p>
        </w:tc>
        <w:tc>
          <w:tcPr>
            <w:tcW w:type="dxa" w:w="5256"/>
            <w:vAlign w:val="top"/>
            <w:tcBorders>
              <w:top w:val="single" w:sz="6" w:color="DFDCD5"/>
              <w:left w:val="single" w:sz="6" w:color="DFDCD5"/>
              <w:bottom w:val="single" w:sz="6" w:color="DFDCD5"/>
              <w:right w:val="single" w:sz="6" w:color="DFDCD5"/>
            </w:tcBorders>
            <w:tcMar>
              <w:top w:w="80" w:type="dxa"/>
              <w:start w:w="105" w:type="dxa"/>
              <w:bottom w:w="75" w:type="dxa"/>
              <w:end w:w="105" w:type="dxa"/>
            </w:tcMar>
            <w:shd w:fill="FFFCF7"/>
          </w:tcPr>
          <w:p>
            <w:pPr>
              <w:spacing w:after="60"/>
            </w:pPr>
            <w:r>
              <w:rPr>
                <w:rFonts w:ascii="Georgia" w:hAnsi="Georgia"/>
                <w:b/>
                <w:color w:val="16233A"/>
                <w:sz w:val="16"/>
              </w:rPr>
              <w:t>“Private schools test EFA students, and many make significant academic gains.”</w:t>
            </w:r>
          </w:p>
          <w:p>
            <w:pPr>
              <w:spacing w:after="40" w:line="240" w:lineRule="auto"/>
            </w:pPr>
            <w:r>
              <w:rPr>
                <w:rFonts w:ascii="Aptos" w:hAnsi="Aptos"/>
                <w:b/>
                <w:color w:val="2F6B45"/>
                <w:sz w:val="13"/>
              </w:rPr>
              <w:t xml:space="preserve">WHAT IS TRUE  </w:t>
            </w:r>
            <w:r>
              <w:rPr>
                <w:rFonts w:ascii="Aptos" w:hAnsi="Aptos"/>
                <w:color w:val="3F4D63"/>
                <w:sz w:val="14"/>
              </w:rPr>
              <w:t>Every EFA parent must submit an annual attainment record.</w:t>
            </w:r>
          </w:p>
          <w:p>
            <w:pPr>
              <w:spacing w:after="0" w:line="240" w:lineRule="auto"/>
            </w:pPr>
            <w:r>
              <w:rPr>
                <w:rFonts w:ascii="Aptos" w:hAnsi="Aptos"/>
                <w:b/>
                <w:color w:val="9A3324"/>
                <w:sz w:val="13"/>
              </w:rPr>
              <w:t xml:space="preserve">WHAT IS MISSING  </w:t>
            </w:r>
            <w:r>
              <w:rPr>
                <w:rFonts w:ascii="Aptos" w:hAnsi="Aptos"/>
                <w:color w:val="3F4D63"/>
                <w:sz w:val="14"/>
              </w:rPr>
              <w:t>A nationally normed test is only one option; families may instead use the statewide assessment or an evaluated portfolio. ‘Many’ does not establish a program-wide effect without a denominator, comparison group, or consistent public results.</w:t>
            </w:r>
          </w:p>
        </w:tc>
      </w:tr>
    </w:tbl>
    <w:p>
      <w:pPr>
        <w:spacing w:before="120" w:after="20"/>
      </w:pPr>
      <w:r>
        <w:rPr>
          <w:rFonts w:ascii="Aptos" w:hAnsi="Aptos"/>
          <w:b/>
          <w:color w:val="3F4D63"/>
          <w:sz w:val="14"/>
        </w:rPr>
        <w:t xml:space="preserve">Verification: </w:t>
      </w:r>
      <w:r>
        <w:rPr>
          <w:rFonts w:ascii="Aptos" w:hAnsi="Aptos"/>
          <w:color w:val="3F4D63"/>
          <w:sz w:val="14"/>
        </w:rPr>
        <w:t>RSA 194-F:3, :4, :7, :10–12 · RSA 194-B:1-a, :3, :14, :16 · NHDOE November 2025 EFA factsheet.</w:t>
      </w:r>
    </w:p>
    <w:p>
      <w:r>
        <w:br w:type="page"/>
      </w:r>
    </w:p>
    <w:p>
      <w:pPr>
        <w:pStyle w:val="Title"/>
        <w:spacing w:after="40"/>
      </w:pPr>
      <w:r>
        <w:rPr>
          <w:rFonts w:ascii="Aptos" w:hAnsi="Aptos"/>
          <w:b/>
          <w:color w:val="C8891F"/>
          <w:sz w:val="17"/>
        </w:rPr>
        <w:t>SCREENSHOT CLAIM CHECK</w:t>
      </w:r>
    </w:p>
    <w:p>
      <w:pPr>
        <w:spacing w:after="80"/>
      </w:pPr>
      <w:r>
        <w:rPr>
          <w:rFonts w:ascii="Georgia" w:hAnsi="Georgia"/>
          <w:b/>
          <w:color w:val="16233A"/>
          <w:sz w:val="46"/>
        </w:rPr>
        <w:t>Labels, popularity, and political predictions</w:t>
      </w:r>
    </w:p>
    <w:p>
      <w:pPr>
        <w:spacing w:after="200"/>
      </w:pPr>
      <w:r>
        <w:rPr>
          <w:rFonts w:ascii="Georgia" w:hAnsi="Georgia"/>
          <w:color w:val="3F4D63"/>
          <w:sz w:val="21"/>
        </w:rPr>
        <w:t>Some statements are partly factual; others are definitions, value judgments, or forecasts. They should not be graded as though they were the same kind of claim.</w:t>
      </w:r>
    </w:p>
    <w:tbl>
      <w:tblPr>
        <w:tblW w:type="auto" w:w="0"/>
        <w:jc w:val="center"/>
        <w:tblLayout w:type="fixed"/>
        <w:tblLook w:firstColumn="1" w:firstRow="1" w:lastColumn="0" w:lastRow="0" w:noHBand="0" w:noVBand="1" w:val="04A0"/>
      </w:tblPr>
      <w:tblGrid>
        <w:gridCol w:w="5328"/>
        <w:gridCol w:w="5328"/>
      </w:tblGrid>
      <w:tr>
        <w:tc>
          <w:tcPr>
            <w:tcW w:type="dxa" w:w="5256"/>
            <w:vAlign w:val="top"/>
            <w:tcBorders>
              <w:top w:val="single" w:sz="6" w:color="DFDCD5"/>
              <w:left w:val="single" w:sz="6" w:color="DFDCD5"/>
              <w:bottom w:val="single" w:sz="6" w:color="DFDCD5"/>
              <w:right w:val="single" w:sz="6" w:color="DFDCD5"/>
            </w:tcBorders>
            <w:tcMar>
              <w:top w:w="95" w:type="dxa"/>
              <w:start w:w="115" w:type="dxa"/>
              <w:bottom w:w="90" w:type="dxa"/>
              <w:end w:w="115" w:type="dxa"/>
            </w:tcMar>
            <w:shd w:fill="FFFCF7"/>
          </w:tcPr>
          <w:p>
            <w:pPr>
              <w:spacing w:after="80"/>
            </w:pPr>
            <w:r>
              <w:rPr>
                <w:rFonts w:ascii="Georgia" w:hAnsi="Georgia"/>
                <w:b/>
                <w:color w:val="16233A"/>
                <w:sz w:val="17"/>
              </w:rPr>
              <w:t>“These are low- to middle-income families who qualify for EFAs.”</w:t>
            </w:r>
          </w:p>
          <w:p>
            <w:pPr>
              <w:spacing w:after="60" w:line="245" w:lineRule="auto"/>
            </w:pPr>
            <w:r>
              <w:rPr>
                <w:rFonts w:ascii="Aptos" w:hAnsi="Aptos"/>
                <w:b/>
                <w:color w:val="2F6B45"/>
                <w:sz w:val="13"/>
              </w:rPr>
              <w:t xml:space="preserve">WHAT IS TRUE  </w:t>
            </w:r>
            <w:r>
              <w:rPr>
                <w:rFonts w:ascii="Aptos" w:hAnsi="Aptos"/>
                <w:color w:val="3F4D63"/>
                <w:sz w:val="15"/>
              </w:rPr>
              <w:t>Families at or below 350% of the federal poverty guideline are a statutory priority group, and many participating families may have low or middle incomes.</w:t>
            </w:r>
          </w:p>
          <w:p>
            <w:pPr>
              <w:spacing w:after="0" w:line="245" w:lineRule="auto"/>
            </w:pPr>
            <w:r>
              <w:rPr>
                <w:rFonts w:ascii="Aptos" w:hAnsi="Aptos"/>
                <w:b/>
                <w:color w:val="9A3324"/>
                <w:sz w:val="13"/>
              </w:rPr>
              <w:t xml:space="preserve">WHAT IS MISSING  </w:t>
            </w:r>
            <w:r>
              <w:rPr>
                <w:rFonts w:ascii="Aptos" w:hAnsi="Aptos"/>
                <w:color w:val="3F4D63"/>
                <w:sz w:val="15"/>
              </w:rPr>
              <w:t>Priority is not eligibility. The income ceiling was removed in 2025, so otherwise eligible higher-income families also qualify. Public reporting should show the full income distribution before anyone claims who typically receives the benefit.</w:t>
            </w:r>
          </w:p>
        </w:tc>
        <w:tc>
          <w:tcPr>
            <w:tcW w:type="dxa" w:w="5256"/>
            <w:vAlign w:val="top"/>
            <w:tcBorders>
              <w:top w:val="single" w:sz="6" w:color="DFDCD5"/>
              <w:left w:val="single" w:sz="6" w:color="DFDCD5"/>
              <w:bottom w:val="single" w:sz="6" w:color="DFDCD5"/>
              <w:right w:val="single" w:sz="6" w:color="DFDCD5"/>
            </w:tcBorders>
            <w:tcMar>
              <w:top w:w="95" w:type="dxa"/>
              <w:start w:w="115" w:type="dxa"/>
              <w:bottom w:w="90" w:type="dxa"/>
              <w:end w:w="115" w:type="dxa"/>
            </w:tcMar>
            <w:shd w:fill="FFFCF7"/>
          </w:tcPr>
          <w:p>
            <w:pPr>
              <w:spacing w:after="80"/>
            </w:pPr>
            <w:r>
              <w:rPr>
                <w:rFonts w:ascii="Georgia" w:hAnsi="Georgia"/>
                <w:b/>
                <w:color w:val="16233A"/>
                <w:sz w:val="17"/>
              </w:rPr>
              <w:t>“EFAs are not vouchers.”</w:t>
            </w:r>
          </w:p>
          <w:p>
            <w:pPr>
              <w:spacing w:after="60" w:line="245" w:lineRule="auto"/>
            </w:pPr>
            <w:r>
              <w:rPr>
                <w:rFonts w:ascii="Aptos" w:hAnsi="Aptos"/>
                <w:b/>
                <w:color w:val="2F6B45"/>
                <w:sz w:val="13"/>
              </w:rPr>
              <w:t xml:space="preserve">WHAT IS TRUE  </w:t>
            </w:r>
            <w:r>
              <w:rPr>
                <w:rFonts w:ascii="Aptos" w:hAnsi="Aptos"/>
                <w:color w:val="3F4D63"/>
                <w:sz w:val="15"/>
              </w:rPr>
              <w:t>An EFA is an account with multiple approved uses; it is broader than a tuition-only voucher and is not a blank check paid directly to a school.</w:t>
            </w:r>
          </w:p>
          <w:p>
            <w:pPr>
              <w:spacing w:after="0" w:line="245" w:lineRule="auto"/>
            </w:pPr>
            <w:r>
              <w:rPr>
                <w:rFonts w:ascii="Aptos" w:hAnsi="Aptos"/>
                <w:b/>
                <w:color w:val="9A3324"/>
                <w:sz w:val="13"/>
              </w:rPr>
              <w:t xml:space="preserve">WHAT IS MISSING  </w:t>
            </w:r>
            <w:r>
              <w:rPr>
                <w:rFonts w:ascii="Aptos" w:hAnsi="Aptos"/>
                <w:color w:val="3F4D63"/>
                <w:sz w:val="15"/>
              </w:rPr>
              <w:t>The terminology does not settle the policy question. Both mechanisms use public funds for education outside a student’s resident district school, including private-school tuition.</w:t>
            </w:r>
          </w:p>
        </w:tc>
      </w:tr>
      <w:tr>
        <w:tc>
          <w:tcPr>
            <w:tcW w:type="dxa" w:w="5256"/>
            <w:vAlign w:val="top"/>
            <w:tcBorders>
              <w:top w:val="single" w:sz="6" w:color="DFDCD5"/>
              <w:left w:val="single" w:sz="6" w:color="DFDCD5"/>
              <w:bottom w:val="single" w:sz="6" w:color="DFDCD5"/>
              <w:right w:val="single" w:sz="6" w:color="DFDCD5"/>
            </w:tcBorders>
            <w:tcMar>
              <w:top w:w="95" w:type="dxa"/>
              <w:start w:w="115" w:type="dxa"/>
              <w:bottom w:w="90" w:type="dxa"/>
              <w:end w:w="115" w:type="dxa"/>
            </w:tcMar>
            <w:shd w:fill="FFFCF7"/>
          </w:tcPr>
          <w:p>
            <w:pPr>
              <w:spacing w:after="80"/>
            </w:pPr>
            <w:r>
              <w:rPr>
                <w:rFonts w:ascii="Georgia" w:hAnsi="Georgia"/>
                <w:b/>
                <w:color w:val="16233A"/>
                <w:sz w:val="17"/>
              </w:rPr>
              <w:t>“Families keep choosing EFAs; kids are learning and thriving.”</w:t>
            </w:r>
          </w:p>
          <w:p>
            <w:pPr>
              <w:spacing w:after="60" w:line="245" w:lineRule="auto"/>
            </w:pPr>
            <w:r>
              <w:rPr>
                <w:rFonts w:ascii="Aptos" w:hAnsi="Aptos"/>
                <w:b/>
                <w:color w:val="2F6B45"/>
                <w:sz w:val="13"/>
              </w:rPr>
              <w:t xml:space="preserve">WHAT IS TRUE  </w:t>
            </w:r>
            <w:r>
              <w:rPr>
                <w:rFonts w:ascii="Aptos" w:hAnsi="Aptos"/>
                <w:color w:val="3F4D63"/>
                <w:sz w:val="15"/>
              </w:rPr>
              <w:t>Demand is substantial, and individual families can sincerely report a safer or better educational fit.</w:t>
            </w:r>
          </w:p>
          <w:p>
            <w:pPr>
              <w:spacing w:after="0" w:line="245" w:lineRule="auto"/>
            </w:pPr>
            <w:r>
              <w:rPr>
                <w:rFonts w:ascii="Aptos" w:hAnsi="Aptos"/>
                <w:b/>
                <w:color w:val="9A3324"/>
                <w:sz w:val="13"/>
              </w:rPr>
              <w:t xml:space="preserve">WHAT IS MISSING  </w:t>
            </w:r>
            <w:r>
              <w:rPr>
                <w:rFonts w:ascii="Aptos" w:hAnsi="Aptos"/>
                <w:color w:val="3F4D63"/>
                <w:sz w:val="15"/>
              </w:rPr>
              <w:t>Demand and testimonials do not establish average academic gains, fiscal savings, or equitable access. Those conclusions require comparable outcome data and a clear account of who entered from which prior setting.</w:t>
            </w:r>
          </w:p>
        </w:tc>
        <w:tc>
          <w:tcPr>
            <w:tcW w:type="dxa" w:w="5256"/>
            <w:vAlign w:val="top"/>
            <w:tcBorders>
              <w:top w:val="single" w:sz="6" w:color="DFDCD5"/>
              <w:left w:val="single" w:sz="6" w:color="DFDCD5"/>
              <w:bottom w:val="single" w:sz="6" w:color="DFDCD5"/>
              <w:right w:val="single" w:sz="6" w:color="DFDCD5"/>
            </w:tcBorders>
            <w:tcMar>
              <w:top w:w="95" w:type="dxa"/>
              <w:start w:w="115" w:type="dxa"/>
              <w:bottom w:w="90" w:type="dxa"/>
              <w:end w:w="115" w:type="dxa"/>
            </w:tcMar>
            <w:shd w:fill="FFFCF7"/>
          </w:tcPr>
          <w:p>
            <w:pPr>
              <w:spacing w:after="80"/>
            </w:pPr>
            <w:r>
              <w:rPr>
                <w:rFonts w:ascii="Georgia" w:hAnsi="Georgia"/>
                <w:b/>
                <w:color w:val="16233A"/>
                <w:sz w:val="17"/>
              </w:rPr>
              <w:t>School choice will be “on the chopping block”; opponents will dismantle it and force children out of schools they love.</w:t>
            </w:r>
          </w:p>
          <w:p>
            <w:pPr>
              <w:spacing w:after="60" w:line="245" w:lineRule="auto"/>
            </w:pPr>
            <w:r>
              <w:rPr>
                <w:rFonts w:ascii="Aptos" w:hAnsi="Aptos"/>
                <w:b/>
                <w:color w:val="2F6B45"/>
                <w:sz w:val="13"/>
              </w:rPr>
              <w:t xml:space="preserve">WHAT IS TRUE  </w:t>
            </w:r>
            <w:r>
              <w:rPr>
                <w:rFonts w:ascii="Aptos" w:hAnsi="Aptos"/>
                <w:color w:val="3F4D63"/>
                <w:sz w:val="15"/>
              </w:rPr>
              <w:t>Candidates and parties differ over EFA eligibility, spending, caps, and oversight. A funding change could materially affect some families’ ability to afford their current arrangement.</w:t>
            </w:r>
          </w:p>
          <w:p>
            <w:pPr>
              <w:spacing w:after="0" w:line="245" w:lineRule="auto"/>
            </w:pPr>
            <w:r>
              <w:rPr>
                <w:rFonts w:ascii="Aptos" w:hAnsi="Aptos"/>
                <w:b/>
                <w:color w:val="9A3324"/>
                <w:sz w:val="13"/>
              </w:rPr>
              <w:t xml:space="preserve">WHAT IS MISSING  </w:t>
            </w:r>
            <w:r>
              <w:rPr>
                <w:rFonts w:ascii="Aptos" w:hAnsi="Aptos"/>
                <w:color w:val="3F4D63"/>
                <w:sz w:val="15"/>
              </w:rPr>
              <w:t>This is a political prediction, not a measured program fact. Restricting or redesigning an EFA subsidy is not automatically the same as outlawing private school or home education, and positions should be attributed to a specific bill or candidate.</w:t>
            </w:r>
          </w:p>
        </w:tc>
      </w:tr>
    </w:tbl>
    <w:p>
      <w:pPr>
        <w:spacing w:after="0"/>
      </w:pPr>
    </w:p>
    <w:tbl>
      <w:tblPr>
        <w:tblW w:type="auto" w:w="0"/>
        <w:jc w:val="center"/>
        <w:tblLook w:firstColumn="1" w:firstRow="1" w:lastColumn="0" w:lastRow="0" w:noHBand="0" w:noVBand="1" w:val="04A0"/>
      </w:tblPr>
      <w:tblGrid>
        <w:gridCol w:w="10656"/>
      </w:tblGrid>
      <w:tr>
        <w:tc>
          <w:tcPr>
            <w:tcW w:type="dxa" w:w="10656"/>
            <w:tcBorders>
              <w:top w:val="single" w:sz="6" w:color="D7E3EC"/>
              <w:left w:val="single" w:sz="6" w:color="D7E3EC"/>
              <w:bottom w:val="single" w:sz="6" w:color="D7E3EC"/>
              <w:right w:val="single" w:sz="6" w:color="D7E3EC"/>
            </w:tcBorders>
            <w:shd w:fill="EEF3F7"/>
            <w:tcMar>
              <w:top w:w="100" w:type="dxa"/>
              <w:start w:w="135" w:type="dxa"/>
              <w:bottom w:w="95" w:type="dxa"/>
              <w:end w:w="135" w:type="dxa"/>
            </w:tcMar>
          </w:tcPr>
          <w:p>
            <w:pPr>
              <w:spacing w:after="100"/>
            </w:pPr>
            <w:r>
              <w:rPr>
                <w:rFonts w:ascii="Aptos" w:hAnsi="Aptos"/>
                <w:b/>
                <w:color w:val="7A5714"/>
                <w:sz w:val="16"/>
              </w:rPr>
              <w:t>HOW THE SCREENSHOTS ARE USED</w:t>
            </w:r>
          </w:p>
          <w:p>
            <w:pPr>
              <w:spacing w:before="0" w:after="0" w:line="254" w:lineRule="auto"/>
            </w:pPr>
            <w:r>
              <w:rPr>
                <w:rFonts w:ascii="Aptos" w:hAnsi="Aptos"/>
                <w:b w:val="0"/>
                <w:color w:val="3F4D63"/>
                <w:sz w:val="16"/>
              </w:rPr>
              <w:t>Screenshots supplied to The State Ledger establish the wording of the public claims. They do not prove the claims. Each factual component is checked against law, fiscal notes, agency data, and program records; forecasts and value judgments are labeled as such.</w:t>
            </w:r>
          </w:p>
        </w:tc>
      </w:tr>
    </w:tbl>
    <w:p>
      <w:pPr>
        <w:spacing w:before="140" w:after="20"/>
      </w:pPr>
      <w:r>
        <w:rPr>
          <w:rFonts w:ascii="Aptos" w:hAnsi="Aptos"/>
          <w:b/>
          <w:color w:val="7A5714"/>
          <w:sz w:val="15"/>
        </w:rPr>
        <w:t>PRIMARY LAW</w:t>
      </w:r>
    </w:p>
    <w:p>
      <w:pPr>
        <w:spacing w:after="20" w:line="240" w:lineRule="auto"/>
      </w:pPr>
      <w:r>
        <w:rPr>
          <w:rFonts w:ascii="Aptos" w:hAnsi="Aptos"/>
          <w:color w:val="3F4D63"/>
          <w:sz w:val="14"/>
        </w:rPr>
        <w:t xml:space="preserve">EFA requirements and provider autonomy · </w:t>
      </w:r>
      <w:hyperlink r:id="rId10">
        <w:r>
          <w:rPr>
            <w:color w:val="1B2C4B"/>
            <w:u w:val="single"/>
          </w:rPr>
          <w:t>RSA 194-F</w:t>
        </w:r>
      </w:hyperlink>
      <w:r>
        <w:rPr>
          <w:rFonts w:ascii="Aptos" w:hAnsi="Aptos"/>
          <w:color w:val="3F4D63"/>
          <w:sz w:val="14"/>
        </w:rPr>
        <w:t xml:space="preserve">   Charter-school structure and staffing · </w:t>
      </w:r>
      <w:hyperlink r:id="rId15">
        <w:r>
          <w:rPr>
            <w:color w:val="1B2C4B"/>
            <w:u w:val="single"/>
          </w:rPr>
          <w:t>RSA 194-B</w:t>
        </w:r>
      </w:hyperlink>
    </w:p>
    <w:sectPr w:rsidR="00FC693F" w:rsidRPr="0006063C" w:rsidSect="00034616">
      <w:footerReference w:type="default" r:id="rId9"/>
      <w:pgSz w:w="12240" w:h="15840"/>
      <w:pgMar w:top="648" w:right="792" w:bottom="691"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7688"/>
        <w:sz w:val="14"/>
      </w:rPr>
      <w:t>THE STATE LEDGER  •  STATE-LEDGER.ORG  •  CURRENT AS OF SEPTEMBER 10,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623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gc.nh.gov/rsa/html/XV/194-F/194-F-mrg.htm" TargetMode="External"/><Relationship Id="rId11" Type="http://schemas.openxmlformats.org/officeDocument/2006/relationships/hyperlink" Target="https://gc.nh.gov/bill_status/pdf.aspx?id=16612&amp;q=billVersion" TargetMode="External"/><Relationship Id="rId12" Type="http://schemas.openxmlformats.org/officeDocument/2006/relationships/hyperlink" Target="https://nh.scholarshipfund.org/new-hampshire-education-freedom-account-program-reaches-12500-student-enrollment-cap/" TargetMode="External"/><Relationship Id="rId13" Type="http://schemas.openxmlformats.org/officeDocument/2006/relationships/hyperlink" Target="https://gc.nh.gov/senate/newsroom/2025/Release%20-%20Senate%20Passing%20SB%20295%20(Education%20Freedom%20Accounts).pdf" TargetMode="External"/><Relationship Id="rId14" Type="http://schemas.openxmlformats.org/officeDocument/2006/relationships/hyperlink" Target="https://gc.nh.gov/bill_Status/pdf.aspx?id=12311&amp;q=HearingRpt" TargetMode="External"/><Relationship Id="rId15" Type="http://schemas.openxmlformats.org/officeDocument/2006/relationships/hyperlink" Target="https://gc.nh.gov/rsa/html/XV/194-B/194-B-mr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